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8201D" w:rsidRDefault="0008201D" w:rsidP="0008201D">
      <w:pPr>
        <w:widowControl w:val="0"/>
        <w:autoSpaceDE w:val="0"/>
        <w:autoSpaceDN w:val="0"/>
        <w:adjustRightInd w:val="0"/>
        <w:rPr>
          <w:sz w:val="3"/>
          <w:szCs w:val="3"/>
        </w:rPr>
      </w:pPr>
    </w:p>
    <w:p w:rsidR="0008201D" w:rsidRDefault="0008201D" w:rsidP="0008201D">
      <w:pPr>
        <w:widowControl w:val="0"/>
        <w:tabs>
          <w:tab w:val="center" w:pos="4819"/>
          <w:tab w:val="right" w:pos="9582"/>
        </w:tabs>
        <w:autoSpaceDE w:val="0"/>
        <w:autoSpaceDN w:val="0"/>
        <w:adjustRightInd w:val="0"/>
        <w:rPr>
          <w:rFonts w:ascii="Arial" w:hAnsi="Arial" w:cs="Arial"/>
          <w:b/>
          <w:bCs/>
          <w:color w:val="000000"/>
        </w:rPr>
      </w:pPr>
      <w:r>
        <w:tab/>
      </w:r>
      <w:r>
        <w:rPr>
          <w:rFonts w:ascii="Arial" w:hAnsi="Arial" w:cs="Arial"/>
          <w:b/>
          <w:bCs/>
          <w:color w:val="008000"/>
          <w:u w:val="single"/>
        </w:rPr>
        <w:t>Université PANTHÉON - ASSAS (PARIS II)</w:t>
      </w:r>
      <w:r>
        <w:tab/>
      </w:r>
      <w:r w:rsidRPr="00AB6A7C">
        <w:rPr>
          <w:rFonts w:ascii="Arial" w:hAnsi="Arial" w:cs="Arial"/>
          <w:b/>
          <w:bCs/>
          <w:color w:val="000000"/>
        </w:rPr>
        <w:t>U</w:t>
      </w:r>
      <w:r>
        <w:rPr>
          <w:rFonts w:ascii="Arial" w:hAnsi="Arial" w:cs="Arial"/>
          <w:b/>
          <w:bCs/>
          <w:color w:val="000000"/>
        </w:rPr>
        <w:t>.</w:t>
      </w:r>
      <w:r w:rsidRPr="00AB6A7C">
        <w:rPr>
          <w:rFonts w:ascii="Arial" w:hAnsi="Arial" w:cs="Arial"/>
          <w:b/>
          <w:bCs/>
          <w:color w:val="000000"/>
        </w:rPr>
        <w:t>E</w:t>
      </w:r>
      <w:r>
        <w:rPr>
          <w:rFonts w:ascii="Arial" w:hAnsi="Arial" w:cs="Arial"/>
          <w:b/>
          <w:bCs/>
          <w:color w:val="000000"/>
        </w:rPr>
        <w:t>.F. 2</w:t>
      </w:r>
    </w:p>
    <w:p w:rsidR="0008201D" w:rsidRDefault="0008201D" w:rsidP="0008201D">
      <w:pPr>
        <w:widowControl w:val="0"/>
        <w:tabs>
          <w:tab w:val="center" w:pos="4821"/>
          <w:tab w:val="right" w:pos="9582"/>
        </w:tabs>
        <w:autoSpaceDE w:val="0"/>
        <w:autoSpaceDN w:val="0"/>
        <w:adjustRightInd w:val="0"/>
        <w:jc w:val="center"/>
        <w:rPr>
          <w:rFonts w:ascii="Arial" w:hAnsi="Arial" w:cs="Arial"/>
          <w:b/>
          <w:bCs/>
          <w:color w:val="000000"/>
        </w:rPr>
      </w:pPr>
      <w:r>
        <w:rPr>
          <w:rFonts w:ascii="Arial" w:hAnsi="Arial" w:cs="Arial"/>
          <w:b/>
          <w:bCs/>
          <w:color w:val="000000"/>
          <w:sz w:val="20"/>
          <w:szCs w:val="20"/>
        </w:rPr>
        <w:tab/>
      </w:r>
      <w:r>
        <w:rPr>
          <w:rFonts w:ascii="Arial" w:hAnsi="Arial" w:cs="Arial"/>
          <w:b/>
          <w:bCs/>
          <w:color w:val="800000"/>
          <w:u w:val="single"/>
        </w:rPr>
        <w:t>Droit - Economie - Sciences Sociales</w:t>
      </w:r>
      <w:r>
        <w:tab/>
      </w:r>
      <w:r w:rsidRPr="00325FF0">
        <w:rPr>
          <w:highlight w:val="yellow"/>
        </w:rPr>
        <w:t>Code matière</w:t>
      </w:r>
      <w:r>
        <w:rPr>
          <w:highlight w:val="yellow"/>
        </w:rPr>
        <w:t> </w:t>
      </w:r>
      <w:r>
        <w:t xml:space="preserve">: </w:t>
      </w:r>
      <w:r w:rsidR="00231229">
        <w:rPr>
          <w:rFonts w:asciiTheme="minorHAnsi" w:hAnsiTheme="minorHAnsi" w:cstheme="minorHAnsi"/>
          <w:b/>
        </w:rPr>
        <w:t>2063</w:t>
      </w:r>
    </w:p>
    <w:p w:rsidR="0008201D" w:rsidRPr="00F30C58" w:rsidRDefault="0008201D" w:rsidP="0008201D">
      <w:pPr>
        <w:widowControl w:val="0"/>
        <w:tabs>
          <w:tab w:val="left" w:pos="62"/>
        </w:tabs>
        <w:autoSpaceDE w:val="0"/>
        <w:autoSpaceDN w:val="0"/>
        <w:adjustRightInd w:val="0"/>
        <w:rPr>
          <w:rFonts w:ascii="Arial" w:hAnsi="Arial" w:cs="Arial"/>
          <w:color w:val="000000"/>
        </w:rPr>
      </w:pPr>
    </w:p>
    <w:p w:rsidR="0008201D" w:rsidRDefault="0008201D" w:rsidP="0008201D">
      <w:pPr>
        <w:widowControl w:val="0"/>
        <w:autoSpaceDE w:val="0"/>
        <w:autoSpaceDN w:val="0"/>
        <w:adjustRightInd w:val="0"/>
        <w:rPr>
          <w:rFonts w:ascii="Arial" w:hAnsi="Arial" w:cs="Arial"/>
          <w:color w:val="000000"/>
          <w:sz w:val="6"/>
          <w:szCs w:val="6"/>
        </w:rPr>
      </w:pPr>
    </w:p>
    <w:p w:rsidR="0008201D" w:rsidRDefault="0008201D" w:rsidP="0008201D">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Session : </w:t>
      </w:r>
      <w:r>
        <w:tab/>
      </w:r>
      <w:r>
        <w:rPr>
          <w:rFonts w:ascii="Arial" w:hAnsi="Arial" w:cs="Arial"/>
          <w:color w:val="000000"/>
        </w:rPr>
        <w:t>Avril 2024</w:t>
      </w:r>
    </w:p>
    <w:p w:rsidR="0008201D" w:rsidRDefault="0008201D" w:rsidP="0008201D">
      <w:pPr>
        <w:widowControl w:val="0"/>
        <w:autoSpaceDE w:val="0"/>
        <w:autoSpaceDN w:val="0"/>
        <w:adjustRightInd w:val="0"/>
        <w:rPr>
          <w:rFonts w:ascii="Arial" w:hAnsi="Arial" w:cs="Arial"/>
          <w:color w:val="000000"/>
          <w:sz w:val="10"/>
          <w:szCs w:val="10"/>
        </w:rPr>
      </w:pPr>
    </w:p>
    <w:p w:rsidR="0008201D" w:rsidRDefault="0008201D" w:rsidP="0008201D">
      <w:pPr>
        <w:widowControl w:val="0"/>
        <w:tabs>
          <w:tab w:val="left" w:pos="56"/>
          <w:tab w:val="left" w:pos="2688"/>
        </w:tabs>
        <w:autoSpaceDE w:val="0"/>
        <w:autoSpaceDN w:val="0"/>
        <w:adjustRightInd w:val="0"/>
        <w:rPr>
          <w:rFonts w:asciiTheme="minorHAnsi" w:hAnsiTheme="minorHAnsi" w:cstheme="minorHAnsi"/>
          <w:color w:val="000000"/>
        </w:rPr>
      </w:pPr>
      <w:r>
        <w:tab/>
      </w:r>
      <w:r>
        <w:rPr>
          <w:rFonts w:ascii="Arial" w:hAnsi="Arial" w:cs="Arial"/>
          <w:b/>
          <w:bCs/>
          <w:color w:val="000000"/>
        </w:rPr>
        <w:t xml:space="preserve">Année d'étude : </w:t>
      </w:r>
      <w:r>
        <w:tab/>
      </w:r>
      <w:r>
        <w:rPr>
          <w:rFonts w:asciiTheme="minorHAnsi" w:hAnsiTheme="minorHAnsi" w:cstheme="minorHAnsi"/>
        </w:rPr>
        <w:t>1</w:t>
      </w:r>
      <w:r w:rsidRPr="00E83D83">
        <w:rPr>
          <w:rFonts w:asciiTheme="minorHAnsi" w:hAnsiTheme="minorHAnsi" w:cstheme="minorHAnsi"/>
          <w:vertAlign w:val="superscript"/>
        </w:rPr>
        <w:t>e</w:t>
      </w:r>
      <w:r>
        <w:rPr>
          <w:rFonts w:asciiTheme="minorHAnsi" w:hAnsiTheme="minorHAnsi" w:cstheme="minorHAnsi"/>
          <w:vertAlign w:val="superscript"/>
        </w:rPr>
        <w:t>re</w:t>
      </w:r>
      <w:r w:rsidRPr="00E83D83">
        <w:rPr>
          <w:rFonts w:asciiTheme="minorHAnsi" w:hAnsiTheme="minorHAnsi" w:cstheme="minorHAnsi"/>
        </w:rPr>
        <w:t xml:space="preserve"> année de Licence</w:t>
      </w:r>
      <w:r>
        <w:rPr>
          <w:rFonts w:asciiTheme="minorHAnsi" w:hAnsiTheme="minorHAnsi" w:cstheme="minorHAnsi"/>
        </w:rPr>
        <w:t xml:space="preserve"> Droit et Licence Science politique</w:t>
      </w:r>
    </w:p>
    <w:p w:rsidR="0008201D" w:rsidRPr="00043901" w:rsidRDefault="0008201D" w:rsidP="0008201D">
      <w:pPr>
        <w:widowControl w:val="0"/>
        <w:tabs>
          <w:tab w:val="left" w:pos="56"/>
          <w:tab w:val="left" w:pos="2688"/>
        </w:tabs>
        <w:autoSpaceDE w:val="0"/>
        <w:autoSpaceDN w:val="0"/>
        <w:adjustRightInd w:val="0"/>
        <w:rPr>
          <w:rFonts w:asciiTheme="minorHAnsi" w:hAnsiTheme="minorHAnsi" w:cstheme="minorHAnsi"/>
          <w:color w:val="000000"/>
        </w:rPr>
      </w:pPr>
    </w:p>
    <w:p w:rsidR="0008201D" w:rsidRDefault="0008201D" w:rsidP="0008201D">
      <w:pPr>
        <w:widowControl w:val="0"/>
        <w:tabs>
          <w:tab w:val="left" w:pos="56"/>
          <w:tab w:val="left" w:pos="2688"/>
        </w:tabs>
        <w:autoSpaceDE w:val="0"/>
        <w:autoSpaceDN w:val="0"/>
        <w:adjustRightInd w:val="0"/>
        <w:rPr>
          <w:b/>
          <w:bCs/>
          <w:i/>
          <w:iCs/>
          <w:color w:val="000000"/>
        </w:rPr>
      </w:pPr>
      <w:r>
        <w:tab/>
      </w:r>
      <w:r>
        <w:rPr>
          <w:rFonts w:ascii="Arial" w:hAnsi="Arial" w:cs="Arial"/>
          <w:b/>
          <w:bCs/>
          <w:color w:val="000000"/>
        </w:rPr>
        <w:t xml:space="preserve">Discipline : </w:t>
      </w:r>
      <w:r>
        <w:tab/>
      </w:r>
      <w:r>
        <w:rPr>
          <w:rFonts w:asciiTheme="minorHAnsi" w:hAnsiTheme="minorHAnsi" w:cstheme="minorHAnsi"/>
        </w:rPr>
        <w:t>Droit constitutionn</w:t>
      </w:r>
      <w:r w:rsidRPr="00E83D83">
        <w:rPr>
          <w:rFonts w:asciiTheme="minorHAnsi" w:hAnsiTheme="minorHAnsi" w:cstheme="minorHAnsi"/>
        </w:rPr>
        <w:t>e</w:t>
      </w:r>
      <w:r>
        <w:rPr>
          <w:rFonts w:asciiTheme="minorHAnsi" w:hAnsiTheme="minorHAnsi" w:cstheme="minorHAnsi"/>
        </w:rPr>
        <w:t>l 2</w:t>
      </w:r>
    </w:p>
    <w:p w:rsidR="0008201D" w:rsidRDefault="0008201D" w:rsidP="0008201D">
      <w:pPr>
        <w:widowControl w:val="0"/>
        <w:autoSpaceDE w:val="0"/>
        <w:autoSpaceDN w:val="0"/>
        <w:adjustRightInd w:val="0"/>
        <w:rPr>
          <w:b/>
          <w:bCs/>
          <w:i/>
          <w:iCs/>
          <w:color w:val="000000"/>
          <w:sz w:val="8"/>
          <w:szCs w:val="8"/>
        </w:rPr>
      </w:pPr>
    </w:p>
    <w:p w:rsidR="0008201D" w:rsidRPr="00254799" w:rsidRDefault="0008201D" w:rsidP="0008201D">
      <w:pPr>
        <w:widowControl w:val="0"/>
        <w:tabs>
          <w:tab w:val="left" w:pos="2688"/>
        </w:tabs>
        <w:autoSpaceDE w:val="0"/>
        <w:autoSpaceDN w:val="0"/>
        <w:adjustRightInd w:val="0"/>
        <w:rPr>
          <w:rFonts w:ascii="Arial" w:hAnsi="Arial" w:cs="Arial"/>
          <w:color w:val="000000"/>
          <w:sz w:val="20"/>
          <w:szCs w:val="20"/>
        </w:rPr>
      </w:pPr>
      <w:r w:rsidRPr="00254799">
        <w:rPr>
          <w:sz w:val="20"/>
          <w:szCs w:val="20"/>
        </w:rPr>
        <w:tab/>
      </w:r>
      <w:r w:rsidRPr="00AB6A7C">
        <w:rPr>
          <w:sz w:val="20"/>
          <w:szCs w:val="20"/>
        </w:rPr>
        <w:t xml:space="preserve">(Unités d’Enseignements </w:t>
      </w:r>
      <w:r>
        <w:rPr>
          <w:sz w:val="20"/>
          <w:szCs w:val="20"/>
        </w:rPr>
        <w:t>fondamentaux 2</w:t>
      </w:r>
      <w:r w:rsidRPr="00AB6A7C">
        <w:rPr>
          <w:sz w:val="20"/>
          <w:szCs w:val="20"/>
        </w:rPr>
        <w:t>)</w:t>
      </w:r>
    </w:p>
    <w:p w:rsidR="0008201D" w:rsidRDefault="0008201D" w:rsidP="0008201D">
      <w:pPr>
        <w:widowControl w:val="0"/>
        <w:tabs>
          <w:tab w:val="left" w:pos="2688"/>
        </w:tabs>
        <w:autoSpaceDE w:val="0"/>
        <w:autoSpaceDN w:val="0"/>
        <w:adjustRightInd w:val="0"/>
        <w:rPr>
          <w:rFonts w:ascii="Arial" w:hAnsi="Arial" w:cs="Arial"/>
          <w:color w:val="000000"/>
          <w:sz w:val="16"/>
          <w:szCs w:val="16"/>
        </w:rPr>
      </w:pPr>
    </w:p>
    <w:p w:rsidR="0008201D" w:rsidRDefault="0008201D" w:rsidP="0008201D">
      <w:pPr>
        <w:widowControl w:val="0"/>
        <w:tabs>
          <w:tab w:val="left" w:pos="56"/>
          <w:tab w:val="left" w:pos="2694"/>
        </w:tabs>
        <w:autoSpaceDE w:val="0"/>
        <w:autoSpaceDN w:val="0"/>
        <w:adjustRightInd w:val="0"/>
        <w:rPr>
          <w:rFonts w:ascii="Arial" w:hAnsi="Arial" w:cs="Arial"/>
          <w:b/>
          <w:bCs/>
          <w:color w:val="000000"/>
        </w:rPr>
      </w:pPr>
    </w:p>
    <w:p w:rsidR="0008201D" w:rsidRDefault="0008201D" w:rsidP="0008201D">
      <w:pPr>
        <w:widowControl w:val="0"/>
        <w:tabs>
          <w:tab w:val="left" w:pos="56"/>
          <w:tab w:val="left" w:pos="2694"/>
        </w:tabs>
        <w:autoSpaceDE w:val="0"/>
        <w:autoSpaceDN w:val="0"/>
        <w:adjustRightInd w:val="0"/>
        <w:rPr>
          <w:rFonts w:ascii="Arial" w:hAnsi="Arial" w:cs="Arial"/>
          <w:b/>
          <w:bCs/>
          <w:color w:val="000000"/>
        </w:rPr>
      </w:pPr>
      <w:r>
        <w:rPr>
          <w:rFonts w:ascii="Arial" w:hAnsi="Arial" w:cs="Arial"/>
          <w:b/>
          <w:bCs/>
          <w:color w:val="000000"/>
        </w:rPr>
        <w:t xml:space="preserve">Titulaire(s) du cours : </w:t>
      </w:r>
      <w:r>
        <w:rPr>
          <w:rFonts w:ascii="Arial" w:hAnsi="Arial" w:cs="Arial"/>
          <w:b/>
          <w:bCs/>
          <w:color w:val="000000"/>
        </w:rPr>
        <w:tab/>
        <w:t>M. le professeur Armel LE DIVELLEC</w:t>
      </w:r>
    </w:p>
    <w:p w:rsidR="0008201D" w:rsidRDefault="0008201D" w:rsidP="0008201D">
      <w:pPr>
        <w:widowControl w:val="0"/>
        <w:tabs>
          <w:tab w:val="left" w:pos="56"/>
          <w:tab w:val="left" w:pos="2694"/>
        </w:tabs>
        <w:autoSpaceDE w:val="0"/>
        <w:autoSpaceDN w:val="0"/>
        <w:adjustRightInd w:val="0"/>
        <w:rPr>
          <w:rFonts w:ascii="Arial" w:hAnsi="Arial" w:cs="Arial"/>
          <w:b/>
          <w:bCs/>
          <w:color w:val="000000"/>
        </w:rPr>
      </w:pPr>
    </w:p>
    <w:p w:rsidR="0008201D" w:rsidRDefault="0008201D" w:rsidP="0008201D">
      <w:pPr>
        <w:widowControl w:val="0"/>
        <w:autoSpaceDE w:val="0"/>
        <w:autoSpaceDN w:val="0"/>
        <w:adjustRightInd w:val="0"/>
        <w:rPr>
          <w:rFonts w:ascii="Arial" w:hAnsi="Arial" w:cs="Arial"/>
          <w:b/>
          <w:bCs/>
          <w:color w:val="000000"/>
          <w:sz w:val="10"/>
          <w:szCs w:val="10"/>
        </w:rPr>
      </w:pPr>
    </w:p>
    <w:p w:rsidR="0008201D" w:rsidRPr="00043901" w:rsidRDefault="0008201D" w:rsidP="0008201D">
      <w:pPr>
        <w:widowControl w:val="0"/>
        <w:tabs>
          <w:tab w:val="left" w:pos="2509"/>
        </w:tabs>
        <w:autoSpaceDE w:val="0"/>
        <w:autoSpaceDN w:val="0"/>
        <w:adjustRightInd w:val="0"/>
        <w:rPr>
          <w:rFonts w:ascii="Arial" w:hAnsi="Arial" w:cs="Arial"/>
          <w:color w:val="000000"/>
        </w:rPr>
      </w:pPr>
      <w:r w:rsidRPr="00110FE2">
        <w:rPr>
          <w:rFonts w:ascii="Arial" w:hAnsi="Arial" w:cs="Arial"/>
          <w:b/>
        </w:rPr>
        <w:t xml:space="preserve">Durée de l’épreuve : </w:t>
      </w:r>
      <w:r>
        <w:rPr>
          <w:rFonts w:ascii="Arial" w:hAnsi="Arial" w:cs="Arial"/>
          <w:b/>
        </w:rPr>
        <w:tab/>
      </w:r>
      <w:r>
        <w:rPr>
          <w:rFonts w:ascii="Arial" w:hAnsi="Arial" w:cs="Arial"/>
        </w:rPr>
        <w:t>3</w:t>
      </w:r>
      <w:r w:rsidRPr="005A497A">
        <w:rPr>
          <w:rFonts w:ascii="Arial" w:hAnsi="Arial" w:cs="Arial"/>
        </w:rPr>
        <w:t>h</w:t>
      </w:r>
    </w:p>
    <w:p w:rsidR="0008201D" w:rsidRDefault="0008201D" w:rsidP="0008201D">
      <w:pPr>
        <w:widowControl w:val="0"/>
        <w:tabs>
          <w:tab w:val="left" w:pos="56"/>
        </w:tabs>
        <w:autoSpaceDE w:val="0"/>
        <w:autoSpaceDN w:val="0"/>
        <w:adjustRightInd w:val="0"/>
      </w:pPr>
    </w:p>
    <w:p w:rsidR="0008201D" w:rsidRDefault="0008201D" w:rsidP="0008201D">
      <w:pPr>
        <w:widowControl w:val="0"/>
        <w:tabs>
          <w:tab w:val="left" w:pos="56"/>
        </w:tabs>
        <w:autoSpaceDE w:val="0"/>
        <w:autoSpaceDN w:val="0"/>
        <w:adjustRightInd w:val="0"/>
        <w:rPr>
          <w:rFonts w:ascii="Arial" w:hAnsi="Arial" w:cs="Arial"/>
          <w:b/>
          <w:bCs/>
          <w:color w:val="000000"/>
        </w:rPr>
      </w:pPr>
      <w:r>
        <w:rPr>
          <w:rFonts w:ascii="Arial" w:hAnsi="Arial" w:cs="Arial"/>
          <w:b/>
          <w:bCs/>
          <w:color w:val="000000"/>
        </w:rPr>
        <w:t>Document(s) autorisé(s) : Aucun (sauf Dictionnaire pour étudiants étrangers)</w:t>
      </w:r>
    </w:p>
    <w:p w:rsidR="0008201D" w:rsidRDefault="0008201D" w:rsidP="0008201D"/>
    <w:p w:rsidR="0008201D" w:rsidRDefault="0008201D" w:rsidP="0008201D"/>
    <w:p w:rsidR="0008201D" w:rsidRPr="00FC1E4E" w:rsidRDefault="0008201D" w:rsidP="0008201D">
      <w:pPr>
        <w:rPr>
          <w:rFonts w:ascii="Arial" w:hAnsi="Arial"/>
        </w:rPr>
      </w:pPr>
      <w:r w:rsidRPr="00FC1E4E">
        <w:rPr>
          <w:rFonts w:ascii="Arial" w:hAnsi="Arial"/>
        </w:rPr>
        <w:t>Le candidat traitera l'un des deux sujets suivants, au choix :</w:t>
      </w:r>
    </w:p>
    <w:p w:rsidR="0008201D" w:rsidRDefault="0008201D" w:rsidP="0008201D">
      <w:pPr>
        <w:rPr>
          <w:rFonts w:ascii="Arial" w:hAnsi="Arial"/>
        </w:rPr>
      </w:pPr>
    </w:p>
    <w:p w:rsidR="0008201D" w:rsidRPr="00FC1E4E" w:rsidRDefault="0008201D" w:rsidP="0008201D">
      <w:pPr>
        <w:rPr>
          <w:rFonts w:ascii="Arial" w:hAnsi="Arial"/>
        </w:rPr>
      </w:pPr>
    </w:p>
    <w:p w:rsidR="0008201D" w:rsidRPr="007F3A3E" w:rsidRDefault="0008201D" w:rsidP="0008201D">
      <w:pPr>
        <w:jc w:val="both"/>
        <w:rPr>
          <w:rFonts w:ascii="Arial" w:hAnsi="Arial"/>
          <w:b/>
          <w:u w:val="single"/>
        </w:rPr>
      </w:pPr>
      <w:r w:rsidRPr="007F3A3E">
        <w:rPr>
          <w:rFonts w:ascii="Arial" w:hAnsi="Arial"/>
          <w:b/>
          <w:u w:val="single"/>
        </w:rPr>
        <w:t xml:space="preserve">Dissertation : </w:t>
      </w:r>
    </w:p>
    <w:p w:rsidR="00863525" w:rsidRPr="00863525" w:rsidRDefault="00863525" w:rsidP="00863525">
      <w:pPr>
        <w:jc w:val="both"/>
        <w:rPr>
          <w:i/>
        </w:rPr>
      </w:pPr>
      <w:r w:rsidRPr="00863525">
        <w:rPr>
          <w:i/>
        </w:rPr>
        <w:t xml:space="preserve">Peut-on vraiment considérer que le Conseil constitutionnel </w:t>
      </w:r>
      <w:r w:rsidR="006D5155">
        <w:rPr>
          <w:i/>
        </w:rPr>
        <w:t xml:space="preserve">français </w:t>
      </w:r>
      <w:r w:rsidRPr="00863525">
        <w:rPr>
          <w:i/>
        </w:rPr>
        <w:t>fait respecter un « bloc de constitutionnalité » qui serait l'expression de la volonté du pouvoir constituant ?</w:t>
      </w:r>
    </w:p>
    <w:p w:rsidR="0008201D" w:rsidRPr="007F3A3E" w:rsidRDefault="0008201D" w:rsidP="0008201D">
      <w:pPr>
        <w:jc w:val="both"/>
        <w:rPr>
          <w:rFonts w:ascii="Arial" w:hAnsi="Arial"/>
        </w:rPr>
      </w:pPr>
    </w:p>
    <w:p w:rsidR="0008201D" w:rsidRPr="007F3A3E" w:rsidRDefault="0008201D" w:rsidP="0008201D">
      <w:pPr>
        <w:jc w:val="both"/>
        <w:rPr>
          <w:rFonts w:ascii="Arial" w:hAnsi="Arial"/>
        </w:rPr>
      </w:pPr>
    </w:p>
    <w:p w:rsidR="0008201D" w:rsidRPr="007F3A3E" w:rsidRDefault="0008201D" w:rsidP="0008201D">
      <w:pPr>
        <w:jc w:val="both"/>
        <w:rPr>
          <w:rFonts w:ascii="Arial" w:hAnsi="Arial"/>
          <w:b/>
          <w:u w:val="single"/>
        </w:rPr>
      </w:pPr>
      <w:r w:rsidRPr="007F3A3E">
        <w:rPr>
          <w:rFonts w:ascii="Arial" w:hAnsi="Arial"/>
          <w:b/>
          <w:u w:val="single"/>
        </w:rPr>
        <w:t xml:space="preserve">Commentaire de texte : </w:t>
      </w:r>
    </w:p>
    <w:p w:rsidR="0008201D" w:rsidRDefault="0008201D" w:rsidP="0008201D">
      <w:pPr>
        <w:jc w:val="both"/>
      </w:pPr>
    </w:p>
    <w:p w:rsidR="00863525" w:rsidRDefault="00863525" w:rsidP="00863525">
      <w:pPr>
        <w:jc w:val="both"/>
      </w:pPr>
      <w:r>
        <w:t xml:space="preserve">Extrait de :  René Capitant, « L’aménagement du pouvoir exécutif et la question du chef de l’Etat dans la Constitution française de 1958 », </w:t>
      </w:r>
      <w:r w:rsidRPr="002C1B10">
        <w:rPr>
          <w:i/>
        </w:rPr>
        <w:t>in L’Encyclopédie française</w:t>
      </w:r>
      <w:r>
        <w:t xml:space="preserve">, t. X, 1964 : </w:t>
      </w:r>
    </w:p>
    <w:p w:rsidR="00863525" w:rsidRDefault="00863525" w:rsidP="00863525">
      <w:pPr>
        <w:jc w:val="both"/>
      </w:pPr>
    </w:p>
    <w:p w:rsidR="00E371DA" w:rsidRPr="002D3EC1" w:rsidRDefault="00E371DA" w:rsidP="00E371DA">
      <w:pPr>
        <w:jc w:val="both"/>
        <w:rPr>
          <w:i/>
        </w:rPr>
      </w:pPr>
      <w:r>
        <w:t>« </w:t>
      </w:r>
      <w:r w:rsidRPr="002D3EC1">
        <w:rPr>
          <w:i/>
        </w:rPr>
        <w:t>La Constitution française de 1958 établit une différenciation fondamentale entre le chef de l’Etat et le gouvernement, auxquels sont respectivement consacrés deux titres différents : les titres II et III. Par là</w:t>
      </w:r>
      <w:r w:rsidR="002D3EC1">
        <w:rPr>
          <w:i/>
        </w:rPr>
        <w:t xml:space="preserve"> </w:t>
      </w:r>
      <w:r w:rsidRPr="002D3EC1">
        <w:rPr>
          <w:i/>
        </w:rPr>
        <w:t>s’est manifestée la volonté de ses rédacteurs de rester attachés au principe traditionnel du régime parlementaire selon lequel « le Roi règne et ne gouverne pas » -- adage qui, en régime républicain, doit être transposé dans le suivant : « le Président préside et ne gouverne pas ».</w:t>
      </w:r>
    </w:p>
    <w:p w:rsidR="00E371DA" w:rsidRPr="002D3EC1" w:rsidRDefault="00E371DA" w:rsidP="00E371DA">
      <w:pPr>
        <w:jc w:val="both"/>
        <w:rPr>
          <w:i/>
        </w:rPr>
      </w:pPr>
      <w:r w:rsidRPr="002D3EC1">
        <w:rPr>
          <w:i/>
        </w:rPr>
        <w:t>En régime parlementaire, en effet, ce sont les ministres, constitués en cabinet, qui gouvernent, cependant que le chef de l’Etat est investi d’un pouvoir propre (que Benjamin Constant appelait sous la Restauration le « pouvoir royal » et que nous pouvons appeler aujourd’hui le « pouvoir présidentiel »), dont le contenu varie selon le type de régime parlementaire en vigueur, mais reste toujours différent de celui du pouvoir gouvernemental.</w:t>
      </w:r>
    </w:p>
    <w:p w:rsidR="00E371DA" w:rsidRPr="002D3EC1" w:rsidRDefault="00E371DA" w:rsidP="00E371DA">
      <w:pPr>
        <w:jc w:val="both"/>
        <w:rPr>
          <w:i/>
        </w:rPr>
      </w:pPr>
      <w:r w:rsidRPr="002D3EC1">
        <w:rPr>
          <w:i/>
        </w:rPr>
        <w:t>Que les fondateurs de la V</w:t>
      </w:r>
      <w:r w:rsidRPr="002D3EC1">
        <w:rPr>
          <w:i/>
          <w:vertAlign w:val="superscript"/>
        </w:rPr>
        <w:t>e</w:t>
      </w:r>
      <w:r w:rsidRPr="002D3EC1">
        <w:rPr>
          <w:i/>
        </w:rPr>
        <w:t xml:space="preserve"> République aient voulu une semblable distinction et l’aient inscrite dans le texte constitutionnel, c’est ce que démontre sans contestation possible la juxtaposition des articles 5 et 20 de la Constitution (…). </w:t>
      </w:r>
    </w:p>
    <w:p w:rsidR="00E371DA" w:rsidRPr="002D3EC1" w:rsidRDefault="00E371DA" w:rsidP="00E371DA">
      <w:pPr>
        <w:jc w:val="both"/>
        <w:rPr>
          <w:i/>
        </w:rPr>
      </w:pPr>
      <w:r w:rsidRPr="002D3EC1">
        <w:rPr>
          <w:i/>
        </w:rPr>
        <w:t>Il est clair, par ailleurs, que ces deux pouvoirs, bien que distincts ne sont pas conçus comme séparés l’un de l’autre, et comme devant être exercés par leurs titulaires respectifs en accord et en liaison étroite. Chacun de ces deux pouvoirs participe d’un pouvoir plus large qui est le « pouvoir exécutif » et dont il ne constitue qu’une fraction, ou un aspect. Il en est toujours ainsi en régime parlementaire (…). Fidèles, en cela encore, à la conception parlementaire, les constituants de 1958 ont organisé la liaison entre le pouvoir présidentiel et le pouvoir ministériel avec autant de soin qu’ils mettaient à en proclamer la distinction. (…)</w:t>
      </w:r>
    </w:p>
    <w:p w:rsidR="00E371DA" w:rsidRPr="002D3EC1" w:rsidRDefault="00E371DA" w:rsidP="00E371DA">
      <w:pPr>
        <w:jc w:val="both"/>
        <w:rPr>
          <w:i/>
        </w:rPr>
      </w:pPr>
      <w:r w:rsidRPr="002D3EC1">
        <w:rPr>
          <w:i/>
        </w:rPr>
        <w:t>Mais quel est exactement le contenu de ces deux pouvoirs ? Quels sont leurs rapports dans la V</w:t>
      </w:r>
      <w:r w:rsidRPr="002D3EC1">
        <w:rPr>
          <w:i/>
          <w:vertAlign w:val="superscript"/>
        </w:rPr>
        <w:t>e</w:t>
      </w:r>
      <w:r w:rsidRPr="002D3EC1">
        <w:rPr>
          <w:i/>
        </w:rPr>
        <w:t xml:space="preserve"> République ? (…)</w:t>
      </w:r>
    </w:p>
    <w:p w:rsidR="00E371DA" w:rsidRPr="002D3EC1" w:rsidRDefault="00E371DA" w:rsidP="00E371DA">
      <w:pPr>
        <w:jc w:val="both"/>
        <w:rPr>
          <w:i/>
        </w:rPr>
      </w:pPr>
      <w:r w:rsidRPr="002D3EC1">
        <w:rPr>
          <w:i/>
        </w:rPr>
        <w:t>On sait que, sous la III</w:t>
      </w:r>
      <w:r w:rsidRPr="002D3EC1">
        <w:rPr>
          <w:i/>
          <w:vertAlign w:val="superscript"/>
        </w:rPr>
        <w:t>e</w:t>
      </w:r>
      <w:r w:rsidRPr="002D3EC1">
        <w:rPr>
          <w:i/>
        </w:rPr>
        <w:t xml:space="preserve"> République, le pouvoir présidentiel était purement nominal. (…) </w:t>
      </w:r>
      <w:r w:rsidR="002D3EC1" w:rsidRPr="002D3EC1">
        <w:rPr>
          <w:i/>
        </w:rPr>
        <w:t xml:space="preserve">Sa signature au bas des décrets avait une valeur purement formelle. Elle donnait forme à la volonté ministérielle, mais ne pouvait prétendre à exprimer la volonté présidentielle. </w:t>
      </w:r>
      <w:r w:rsidRPr="002D3EC1">
        <w:rPr>
          <w:i/>
        </w:rPr>
        <w:t>Il était interdit au Chef de l’Etat d’avoir une politique personnelle, distincte de celle de ses ministres. (…) Une telle solution ne résultait pas seulement d’une coutume (…), elle résultait de la Constitution elle-même. Elle résultait nécessairement du fait que cette constitution avait consacré la souveraineté du Parlement. (…)</w:t>
      </w:r>
    </w:p>
    <w:p w:rsidR="00E371DA" w:rsidRPr="002D3EC1" w:rsidRDefault="00E371DA" w:rsidP="00E371DA">
      <w:pPr>
        <w:jc w:val="both"/>
        <w:rPr>
          <w:i/>
        </w:rPr>
      </w:pPr>
      <w:r w:rsidRPr="002D3EC1">
        <w:rPr>
          <w:i/>
        </w:rPr>
        <w:t>En revanche, des transformations profondes se sont produites en 1958 (…). L’Assemblée nationale a perdu la souveraineté qu’elle possédait dans les deux Républiques précédentes. (…)</w:t>
      </w:r>
    </w:p>
    <w:p w:rsidR="00E371DA" w:rsidRPr="002D3EC1" w:rsidRDefault="00E371DA" w:rsidP="00E371DA">
      <w:pPr>
        <w:jc w:val="both"/>
        <w:rPr>
          <w:i/>
        </w:rPr>
      </w:pPr>
      <w:r w:rsidRPr="002D3EC1">
        <w:rPr>
          <w:i/>
        </w:rPr>
        <w:t xml:space="preserve">De la répartition des compétences entre deux organes de l’Etat résulte toujours un certain rapport de forces entre ceux-ci. Ce rapport dépend de la force respective des compétences qui leur ont été attribuées, ou, plus exactement, de la valeur des actes juridiques qu’ils ont reçu le pouvoir d’accomplir. (…) </w:t>
      </w:r>
    </w:p>
    <w:p w:rsidR="00E371DA" w:rsidRPr="002D3EC1" w:rsidRDefault="00E371DA" w:rsidP="00E371DA">
      <w:pPr>
        <w:jc w:val="both"/>
        <w:rPr>
          <w:i/>
        </w:rPr>
      </w:pPr>
      <w:r w:rsidRPr="002D3EC1">
        <w:rPr>
          <w:i/>
        </w:rPr>
        <w:t>La donnée essentielle, qui commande la réponse, a été dégagée plus haut : c’est à savoir que, pour une part importante de ses fonctions (celle qui correspond au domaine commun) le Premier ministre ne peut rien faire sans l’accord du Président de la République, dont la signature lui est indispensable. (…)</w:t>
      </w:r>
    </w:p>
    <w:p w:rsidR="00E371DA" w:rsidRPr="002D3EC1" w:rsidRDefault="00E371DA" w:rsidP="00E371DA">
      <w:pPr>
        <w:jc w:val="both"/>
        <w:rPr>
          <w:i/>
        </w:rPr>
      </w:pPr>
      <w:r w:rsidRPr="002D3EC1">
        <w:rPr>
          <w:i/>
        </w:rPr>
        <w:t>Mais sur quoi se fonde notre affirmation ? Qu’est-ce qui permet de dire que la signature du chef de l’Etat a perdu dans le texte de la Constitution de 1958 le caractère formel qu’elle avait précédemment ? (…) Pourquoi la signature a-t-elle changé de sens ? (…)</w:t>
      </w:r>
    </w:p>
    <w:p w:rsidR="00E371DA" w:rsidRPr="002D3EC1" w:rsidRDefault="00E371DA" w:rsidP="00E371DA">
      <w:pPr>
        <w:jc w:val="both"/>
        <w:rPr>
          <w:i/>
        </w:rPr>
      </w:pPr>
      <w:r w:rsidRPr="002D3EC1">
        <w:rPr>
          <w:i/>
        </w:rPr>
        <w:t xml:space="preserve">Si la situation du chef de l’Etat par rapport au chef de gouvernement a changé, c’est parce que sa position en face du Parlement s’est transformée. Hier le Parlement était souverain et aucun des pouvoirs constitutionnels qui avaient été donnés au chef de l‘Etat ne permettait à celui-ci d’entrer en conflit avec lui, d’opposer sa volonté à celle des chambres. (…) Mais aujourd’hui, le Président de la République est dans une situation tout à fait autre. Il a reçu le droit et les moyens d’équilibrer la volonté parlementaire, de la contenir dans les limites que lui impose la Constitution et de soumettre à l’arbitrage souverain du peuple le conflit politique susceptible de l’opposer à elle. L’exception d’inconstitutionnalité portée devant le Conseil constitutionnel, la dissolution et le référendum, telles sont les trois armes nouvelles qui lui ont été données et qui font de lui, sinon le rival, du moins l’égal du Parlement. </w:t>
      </w:r>
    </w:p>
    <w:p w:rsidR="00E371DA" w:rsidRDefault="00E371DA" w:rsidP="00E371DA">
      <w:pPr>
        <w:jc w:val="both"/>
      </w:pPr>
      <w:r w:rsidRPr="002D3EC1">
        <w:rPr>
          <w:i/>
        </w:rPr>
        <w:t>Dans ces conditions, rien n’empêche plus le Président de la République de faire valoir dans les conseils du gouvernement une politique personnelle.</w:t>
      </w:r>
      <w:r>
        <w:t xml:space="preserve"> »  </w:t>
      </w:r>
    </w:p>
    <w:p w:rsidR="003F47B1" w:rsidRDefault="003F47B1"/>
    <w:p w:rsidR="00DF3E88" w:rsidRDefault="00DF3E88"/>
    <w:p w:rsidR="00DF3E88" w:rsidRDefault="00DF3E88">
      <w:r>
        <w:br w:type="page"/>
      </w:r>
    </w:p>
    <w:p w:rsidR="00DF3E88" w:rsidRDefault="00DF3E88" w:rsidP="00DF3E88">
      <w:pPr>
        <w:widowControl w:val="0"/>
        <w:autoSpaceDE w:val="0"/>
        <w:autoSpaceDN w:val="0"/>
        <w:adjustRightInd w:val="0"/>
        <w:rPr>
          <w:sz w:val="3"/>
          <w:szCs w:val="3"/>
        </w:rPr>
      </w:pPr>
    </w:p>
    <w:p w:rsidR="00DF3E88" w:rsidRDefault="00DF3E88" w:rsidP="00DF3E88">
      <w:pPr>
        <w:widowControl w:val="0"/>
        <w:tabs>
          <w:tab w:val="center" w:pos="4819"/>
          <w:tab w:val="right" w:pos="9582"/>
        </w:tabs>
        <w:autoSpaceDE w:val="0"/>
        <w:autoSpaceDN w:val="0"/>
        <w:adjustRightInd w:val="0"/>
        <w:rPr>
          <w:rFonts w:ascii="Arial" w:hAnsi="Arial" w:cs="Arial"/>
          <w:b/>
          <w:bCs/>
          <w:color w:val="000000"/>
        </w:rPr>
      </w:pPr>
      <w:r>
        <w:tab/>
      </w:r>
      <w:r>
        <w:rPr>
          <w:rFonts w:ascii="Arial" w:hAnsi="Arial" w:cs="Arial"/>
          <w:b/>
          <w:bCs/>
          <w:color w:val="008000"/>
          <w:u w:val="single"/>
        </w:rPr>
        <w:t>Université PANTHÉON - ASSAS (PARIS II)</w:t>
      </w:r>
      <w:r>
        <w:tab/>
      </w:r>
      <w:r w:rsidRPr="00AB6A7C">
        <w:rPr>
          <w:rFonts w:ascii="Arial" w:hAnsi="Arial" w:cs="Arial"/>
          <w:b/>
          <w:bCs/>
          <w:color w:val="000000"/>
        </w:rPr>
        <w:t>U</w:t>
      </w:r>
      <w:r>
        <w:rPr>
          <w:rFonts w:ascii="Arial" w:hAnsi="Arial" w:cs="Arial"/>
          <w:b/>
          <w:bCs/>
          <w:color w:val="000000"/>
        </w:rPr>
        <w:t>.</w:t>
      </w:r>
      <w:r w:rsidRPr="00AB6A7C">
        <w:rPr>
          <w:rFonts w:ascii="Arial" w:hAnsi="Arial" w:cs="Arial"/>
          <w:b/>
          <w:bCs/>
          <w:color w:val="000000"/>
        </w:rPr>
        <w:t>E</w:t>
      </w:r>
      <w:r>
        <w:rPr>
          <w:rFonts w:ascii="Arial" w:hAnsi="Arial" w:cs="Arial"/>
          <w:b/>
          <w:bCs/>
          <w:color w:val="000000"/>
        </w:rPr>
        <w:t>.F. 2</w:t>
      </w:r>
    </w:p>
    <w:p w:rsidR="00DF3E88" w:rsidRDefault="00DF3E88" w:rsidP="00DF3E88">
      <w:pPr>
        <w:widowControl w:val="0"/>
        <w:tabs>
          <w:tab w:val="center" w:pos="4821"/>
          <w:tab w:val="right" w:pos="9582"/>
        </w:tabs>
        <w:autoSpaceDE w:val="0"/>
        <w:autoSpaceDN w:val="0"/>
        <w:adjustRightInd w:val="0"/>
        <w:jc w:val="center"/>
        <w:rPr>
          <w:rFonts w:ascii="Arial" w:hAnsi="Arial" w:cs="Arial"/>
          <w:b/>
          <w:bCs/>
          <w:color w:val="000000"/>
        </w:rPr>
      </w:pPr>
      <w:r>
        <w:rPr>
          <w:rFonts w:ascii="Arial" w:hAnsi="Arial" w:cs="Arial"/>
          <w:b/>
          <w:bCs/>
          <w:color w:val="000000"/>
          <w:sz w:val="20"/>
          <w:szCs w:val="20"/>
        </w:rPr>
        <w:tab/>
      </w:r>
      <w:r>
        <w:rPr>
          <w:rFonts w:ascii="Arial" w:hAnsi="Arial" w:cs="Arial"/>
          <w:b/>
          <w:bCs/>
          <w:color w:val="800000"/>
          <w:u w:val="single"/>
        </w:rPr>
        <w:t>Droit - Economie - Sciences Sociales</w:t>
      </w:r>
      <w:r>
        <w:tab/>
      </w:r>
      <w:r w:rsidRPr="00325FF0">
        <w:rPr>
          <w:highlight w:val="yellow"/>
        </w:rPr>
        <w:t>Code matière</w:t>
      </w:r>
      <w:r>
        <w:rPr>
          <w:highlight w:val="yellow"/>
        </w:rPr>
        <w:t> </w:t>
      </w:r>
      <w:r>
        <w:t xml:space="preserve">: </w:t>
      </w:r>
      <w:r>
        <w:rPr>
          <w:rFonts w:asciiTheme="minorHAnsi" w:hAnsiTheme="minorHAnsi" w:cstheme="minorHAnsi"/>
          <w:b/>
        </w:rPr>
        <w:t>2063</w:t>
      </w:r>
    </w:p>
    <w:p w:rsidR="00DF3E88" w:rsidRPr="00F30C58" w:rsidRDefault="00DF3E88" w:rsidP="00DF3E88">
      <w:pPr>
        <w:widowControl w:val="0"/>
        <w:tabs>
          <w:tab w:val="left" w:pos="62"/>
        </w:tabs>
        <w:autoSpaceDE w:val="0"/>
        <w:autoSpaceDN w:val="0"/>
        <w:adjustRightInd w:val="0"/>
        <w:rPr>
          <w:rFonts w:ascii="Arial" w:hAnsi="Arial" w:cs="Arial"/>
          <w:color w:val="000000"/>
        </w:rPr>
      </w:pPr>
    </w:p>
    <w:p w:rsidR="00DF3E88" w:rsidRDefault="00DF3E88" w:rsidP="00DF3E88">
      <w:pPr>
        <w:widowControl w:val="0"/>
        <w:autoSpaceDE w:val="0"/>
        <w:autoSpaceDN w:val="0"/>
        <w:adjustRightInd w:val="0"/>
        <w:rPr>
          <w:rFonts w:ascii="Arial" w:hAnsi="Arial" w:cs="Arial"/>
          <w:color w:val="000000"/>
          <w:sz w:val="6"/>
          <w:szCs w:val="6"/>
        </w:rPr>
      </w:pPr>
    </w:p>
    <w:p w:rsidR="00DF3E88" w:rsidRDefault="00DF3E88" w:rsidP="00DF3E88">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Session : </w:t>
      </w:r>
      <w:r>
        <w:tab/>
      </w:r>
      <w:r>
        <w:rPr>
          <w:rFonts w:ascii="Arial" w:hAnsi="Arial" w:cs="Arial"/>
          <w:color w:val="000000"/>
        </w:rPr>
        <w:t>Avril 2024</w:t>
      </w:r>
    </w:p>
    <w:p w:rsidR="00DF3E88" w:rsidRDefault="00DF3E88" w:rsidP="00DF3E88">
      <w:pPr>
        <w:widowControl w:val="0"/>
        <w:autoSpaceDE w:val="0"/>
        <w:autoSpaceDN w:val="0"/>
        <w:adjustRightInd w:val="0"/>
        <w:rPr>
          <w:rFonts w:ascii="Arial" w:hAnsi="Arial" w:cs="Arial"/>
          <w:color w:val="000000"/>
          <w:sz w:val="10"/>
          <w:szCs w:val="10"/>
        </w:rPr>
      </w:pPr>
    </w:p>
    <w:p w:rsidR="00DF3E88" w:rsidRDefault="00DF3E88" w:rsidP="00DF3E88">
      <w:pPr>
        <w:widowControl w:val="0"/>
        <w:tabs>
          <w:tab w:val="left" w:pos="56"/>
          <w:tab w:val="left" w:pos="2688"/>
        </w:tabs>
        <w:autoSpaceDE w:val="0"/>
        <w:autoSpaceDN w:val="0"/>
        <w:adjustRightInd w:val="0"/>
        <w:rPr>
          <w:rFonts w:asciiTheme="minorHAnsi" w:hAnsiTheme="minorHAnsi" w:cstheme="minorHAnsi"/>
          <w:color w:val="000000"/>
        </w:rPr>
      </w:pPr>
      <w:r>
        <w:tab/>
      </w:r>
      <w:r>
        <w:rPr>
          <w:rFonts w:ascii="Arial" w:hAnsi="Arial" w:cs="Arial"/>
          <w:b/>
          <w:bCs/>
          <w:color w:val="000000"/>
        </w:rPr>
        <w:t xml:space="preserve">Année d'étude : </w:t>
      </w:r>
      <w:r>
        <w:tab/>
      </w:r>
      <w:r>
        <w:rPr>
          <w:rFonts w:asciiTheme="minorHAnsi" w:hAnsiTheme="minorHAnsi" w:cstheme="minorHAnsi"/>
        </w:rPr>
        <w:t>1</w:t>
      </w:r>
      <w:r w:rsidRPr="00E83D83">
        <w:rPr>
          <w:rFonts w:asciiTheme="minorHAnsi" w:hAnsiTheme="minorHAnsi" w:cstheme="minorHAnsi"/>
          <w:vertAlign w:val="superscript"/>
        </w:rPr>
        <w:t>e</w:t>
      </w:r>
      <w:r>
        <w:rPr>
          <w:rFonts w:asciiTheme="minorHAnsi" w:hAnsiTheme="minorHAnsi" w:cstheme="minorHAnsi"/>
          <w:vertAlign w:val="superscript"/>
        </w:rPr>
        <w:t>re</w:t>
      </w:r>
      <w:r w:rsidRPr="00E83D83">
        <w:rPr>
          <w:rFonts w:asciiTheme="minorHAnsi" w:hAnsiTheme="minorHAnsi" w:cstheme="minorHAnsi"/>
        </w:rPr>
        <w:t xml:space="preserve"> année de Licence</w:t>
      </w:r>
      <w:r>
        <w:rPr>
          <w:rFonts w:asciiTheme="minorHAnsi" w:hAnsiTheme="minorHAnsi" w:cstheme="minorHAnsi"/>
        </w:rPr>
        <w:t xml:space="preserve"> Droit et Licence Science politique</w:t>
      </w:r>
    </w:p>
    <w:p w:rsidR="00DF3E88" w:rsidRPr="00043901" w:rsidRDefault="00DF3E88" w:rsidP="00DF3E88">
      <w:pPr>
        <w:widowControl w:val="0"/>
        <w:tabs>
          <w:tab w:val="left" w:pos="56"/>
          <w:tab w:val="left" w:pos="2688"/>
        </w:tabs>
        <w:autoSpaceDE w:val="0"/>
        <w:autoSpaceDN w:val="0"/>
        <w:adjustRightInd w:val="0"/>
        <w:rPr>
          <w:rFonts w:asciiTheme="minorHAnsi" w:hAnsiTheme="minorHAnsi" w:cstheme="minorHAnsi"/>
          <w:color w:val="000000"/>
        </w:rPr>
      </w:pPr>
    </w:p>
    <w:p w:rsidR="00DF3E88" w:rsidRDefault="00DF3E88" w:rsidP="00DF3E88">
      <w:pPr>
        <w:widowControl w:val="0"/>
        <w:tabs>
          <w:tab w:val="left" w:pos="56"/>
          <w:tab w:val="left" w:pos="2688"/>
        </w:tabs>
        <w:autoSpaceDE w:val="0"/>
        <w:autoSpaceDN w:val="0"/>
        <w:adjustRightInd w:val="0"/>
        <w:rPr>
          <w:b/>
          <w:bCs/>
          <w:i/>
          <w:iCs/>
          <w:color w:val="000000"/>
        </w:rPr>
      </w:pPr>
      <w:r>
        <w:tab/>
      </w:r>
      <w:r>
        <w:rPr>
          <w:rFonts w:ascii="Arial" w:hAnsi="Arial" w:cs="Arial"/>
          <w:b/>
          <w:bCs/>
          <w:color w:val="000000"/>
        </w:rPr>
        <w:t xml:space="preserve">Discipline : </w:t>
      </w:r>
      <w:r>
        <w:tab/>
      </w:r>
      <w:r>
        <w:rPr>
          <w:rFonts w:asciiTheme="minorHAnsi" w:hAnsiTheme="minorHAnsi" w:cstheme="minorHAnsi"/>
        </w:rPr>
        <w:t>Droit constitutionn</w:t>
      </w:r>
      <w:r w:rsidRPr="00E83D83">
        <w:rPr>
          <w:rFonts w:asciiTheme="minorHAnsi" w:hAnsiTheme="minorHAnsi" w:cstheme="minorHAnsi"/>
        </w:rPr>
        <w:t>e</w:t>
      </w:r>
      <w:r>
        <w:rPr>
          <w:rFonts w:asciiTheme="minorHAnsi" w:hAnsiTheme="minorHAnsi" w:cstheme="minorHAnsi"/>
        </w:rPr>
        <w:t>l 2</w:t>
      </w:r>
    </w:p>
    <w:p w:rsidR="00DF3E88" w:rsidRDefault="00DF3E88" w:rsidP="00DF3E88">
      <w:pPr>
        <w:widowControl w:val="0"/>
        <w:autoSpaceDE w:val="0"/>
        <w:autoSpaceDN w:val="0"/>
        <w:adjustRightInd w:val="0"/>
        <w:rPr>
          <w:b/>
          <w:bCs/>
          <w:i/>
          <w:iCs/>
          <w:color w:val="000000"/>
          <w:sz w:val="8"/>
          <w:szCs w:val="8"/>
        </w:rPr>
      </w:pPr>
    </w:p>
    <w:p w:rsidR="00DF3E88" w:rsidRPr="00254799" w:rsidRDefault="00DF3E88" w:rsidP="00DF3E88">
      <w:pPr>
        <w:widowControl w:val="0"/>
        <w:tabs>
          <w:tab w:val="left" w:pos="2688"/>
        </w:tabs>
        <w:autoSpaceDE w:val="0"/>
        <w:autoSpaceDN w:val="0"/>
        <w:adjustRightInd w:val="0"/>
        <w:rPr>
          <w:rFonts w:ascii="Arial" w:hAnsi="Arial" w:cs="Arial"/>
          <w:color w:val="000000"/>
          <w:sz w:val="20"/>
          <w:szCs w:val="20"/>
        </w:rPr>
      </w:pPr>
      <w:r w:rsidRPr="00254799">
        <w:rPr>
          <w:sz w:val="20"/>
          <w:szCs w:val="20"/>
        </w:rPr>
        <w:tab/>
      </w:r>
      <w:r w:rsidRPr="00AB6A7C">
        <w:rPr>
          <w:sz w:val="20"/>
          <w:szCs w:val="20"/>
        </w:rPr>
        <w:t xml:space="preserve">(Unités d’Enseignements </w:t>
      </w:r>
      <w:r>
        <w:rPr>
          <w:sz w:val="20"/>
          <w:szCs w:val="20"/>
        </w:rPr>
        <w:t>fondamentaux 2</w:t>
      </w:r>
      <w:r w:rsidRPr="00AB6A7C">
        <w:rPr>
          <w:sz w:val="20"/>
          <w:szCs w:val="20"/>
        </w:rPr>
        <w:t>)</w:t>
      </w:r>
    </w:p>
    <w:p w:rsidR="00DF3E88" w:rsidRDefault="00DF3E88" w:rsidP="00DF3E88">
      <w:pPr>
        <w:widowControl w:val="0"/>
        <w:tabs>
          <w:tab w:val="left" w:pos="2688"/>
        </w:tabs>
        <w:autoSpaceDE w:val="0"/>
        <w:autoSpaceDN w:val="0"/>
        <w:adjustRightInd w:val="0"/>
        <w:rPr>
          <w:rFonts w:ascii="Arial" w:hAnsi="Arial" w:cs="Arial"/>
          <w:color w:val="000000"/>
          <w:sz w:val="16"/>
          <w:szCs w:val="16"/>
        </w:rPr>
      </w:pPr>
    </w:p>
    <w:p w:rsidR="00DF3E88" w:rsidRDefault="00DF3E88" w:rsidP="00DF3E88">
      <w:pPr>
        <w:widowControl w:val="0"/>
        <w:tabs>
          <w:tab w:val="left" w:pos="56"/>
          <w:tab w:val="left" w:pos="2694"/>
        </w:tabs>
        <w:autoSpaceDE w:val="0"/>
        <w:autoSpaceDN w:val="0"/>
        <w:adjustRightInd w:val="0"/>
        <w:rPr>
          <w:rFonts w:ascii="Arial" w:hAnsi="Arial" w:cs="Arial"/>
          <w:b/>
          <w:bCs/>
          <w:color w:val="000000"/>
        </w:rPr>
      </w:pPr>
    </w:p>
    <w:p w:rsidR="00DF3E88" w:rsidRDefault="00DF3E88" w:rsidP="00DF3E88">
      <w:pPr>
        <w:widowControl w:val="0"/>
        <w:tabs>
          <w:tab w:val="left" w:pos="56"/>
          <w:tab w:val="left" w:pos="2694"/>
        </w:tabs>
        <w:autoSpaceDE w:val="0"/>
        <w:autoSpaceDN w:val="0"/>
        <w:adjustRightInd w:val="0"/>
        <w:rPr>
          <w:rFonts w:ascii="Arial" w:hAnsi="Arial" w:cs="Arial"/>
          <w:b/>
          <w:bCs/>
          <w:color w:val="000000"/>
        </w:rPr>
      </w:pPr>
      <w:r>
        <w:rPr>
          <w:rFonts w:ascii="Arial" w:hAnsi="Arial" w:cs="Arial"/>
          <w:b/>
          <w:bCs/>
          <w:color w:val="000000"/>
        </w:rPr>
        <w:t xml:space="preserve">Titulaire(s) du cours : </w:t>
      </w:r>
      <w:r>
        <w:rPr>
          <w:rFonts w:ascii="Arial" w:hAnsi="Arial" w:cs="Arial"/>
          <w:b/>
          <w:bCs/>
          <w:color w:val="000000"/>
        </w:rPr>
        <w:tab/>
        <w:t>M. le professeur Armel LE DIVELLEC</w:t>
      </w:r>
    </w:p>
    <w:p w:rsidR="00DF3E88" w:rsidRDefault="00DF3E88" w:rsidP="00DF3E88">
      <w:pPr>
        <w:widowControl w:val="0"/>
        <w:tabs>
          <w:tab w:val="left" w:pos="56"/>
          <w:tab w:val="left" w:pos="2694"/>
        </w:tabs>
        <w:autoSpaceDE w:val="0"/>
        <w:autoSpaceDN w:val="0"/>
        <w:adjustRightInd w:val="0"/>
        <w:rPr>
          <w:rFonts w:ascii="Arial" w:hAnsi="Arial" w:cs="Arial"/>
          <w:b/>
          <w:bCs/>
          <w:color w:val="000000"/>
        </w:rPr>
      </w:pPr>
    </w:p>
    <w:p w:rsidR="00DF3E88" w:rsidRDefault="00DF3E88" w:rsidP="00DF3E88">
      <w:pPr>
        <w:widowControl w:val="0"/>
        <w:autoSpaceDE w:val="0"/>
        <w:autoSpaceDN w:val="0"/>
        <w:adjustRightInd w:val="0"/>
        <w:rPr>
          <w:rFonts w:ascii="Arial" w:hAnsi="Arial" w:cs="Arial"/>
          <w:b/>
          <w:bCs/>
          <w:color w:val="000000"/>
          <w:sz w:val="10"/>
          <w:szCs w:val="10"/>
        </w:rPr>
      </w:pPr>
    </w:p>
    <w:p w:rsidR="00DF3E88" w:rsidRPr="00043901" w:rsidRDefault="00DF3E88" w:rsidP="00DF3E88">
      <w:pPr>
        <w:widowControl w:val="0"/>
        <w:tabs>
          <w:tab w:val="left" w:pos="2509"/>
        </w:tabs>
        <w:autoSpaceDE w:val="0"/>
        <w:autoSpaceDN w:val="0"/>
        <w:adjustRightInd w:val="0"/>
        <w:rPr>
          <w:rFonts w:ascii="Arial" w:hAnsi="Arial" w:cs="Arial"/>
          <w:color w:val="000000"/>
        </w:rPr>
      </w:pPr>
      <w:r w:rsidRPr="00110FE2">
        <w:rPr>
          <w:rFonts w:ascii="Arial" w:hAnsi="Arial" w:cs="Arial"/>
          <w:b/>
        </w:rPr>
        <w:t xml:space="preserve">Durée de l’épreuve : </w:t>
      </w:r>
      <w:r>
        <w:rPr>
          <w:rFonts w:ascii="Arial" w:hAnsi="Arial" w:cs="Arial"/>
          <w:b/>
        </w:rPr>
        <w:tab/>
      </w:r>
      <w:r>
        <w:rPr>
          <w:rFonts w:ascii="Arial" w:hAnsi="Arial" w:cs="Arial"/>
        </w:rPr>
        <w:t>3</w:t>
      </w:r>
      <w:r w:rsidRPr="005A497A">
        <w:rPr>
          <w:rFonts w:ascii="Arial" w:hAnsi="Arial" w:cs="Arial"/>
        </w:rPr>
        <w:t>h</w:t>
      </w:r>
    </w:p>
    <w:p w:rsidR="00DF3E88" w:rsidRDefault="00DF3E88" w:rsidP="00DF3E88">
      <w:pPr>
        <w:widowControl w:val="0"/>
        <w:tabs>
          <w:tab w:val="left" w:pos="56"/>
        </w:tabs>
        <w:autoSpaceDE w:val="0"/>
        <w:autoSpaceDN w:val="0"/>
        <w:adjustRightInd w:val="0"/>
      </w:pPr>
    </w:p>
    <w:p w:rsidR="00DF3E88" w:rsidRDefault="00DF3E88" w:rsidP="00DF3E88">
      <w:pPr>
        <w:widowControl w:val="0"/>
        <w:tabs>
          <w:tab w:val="left" w:pos="56"/>
        </w:tabs>
        <w:autoSpaceDE w:val="0"/>
        <w:autoSpaceDN w:val="0"/>
        <w:adjustRightInd w:val="0"/>
        <w:rPr>
          <w:rFonts w:ascii="Arial" w:hAnsi="Arial" w:cs="Arial"/>
          <w:b/>
          <w:bCs/>
          <w:color w:val="000000"/>
        </w:rPr>
      </w:pPr>
      <w:r>
        <w:rPr>
          <w:rFonts w:ascii="Arial" w:hAnsi="Arial" w:cs="Arial"/>
          <w:b/>
          <w:bCs/>
          <w:color w:val="000000"/>
        </w:rPr>
        <w:t>Document(s) autorisé(s) : Aucun (sauf Dictionnaire pour étudiants étrangers)</w:t>
      </w:r>
    </w:p>
    <w:p w:rsidR="00DF3E88" w:rsidRDefault="00DF3E88" w:rsidP="00DF3E88"/>
    <w:p w:rsidR="00DF3E88" w:rsidRDefault="00DF3E88" w:rsidP="00DF3E88"/>
    <w:p w:rsidR="00DF3E88" w:rsidRPr="00FC1E4E" w:rsidRDefault="00DF3E88" w:rsidP="00DF3E88">
      <w:pPr>
        <w:rPr>
          <w:rFonts w:ascii="Arial" w:hAnsi="Arial"/>
        </w:rPr>
      </w:pPr>
      <w:r w:rsidRPr="00FC1E4E">
        <w:rPr>
          <w:rFonts w:ascii="Arial" w:hAnsi="Arial"/>
        </w:rPr>
        <w:t>Le candidat traitera l'un des deux sujets suivants, au choix :</w:t>
      </w:r>
    </w:p>
    <w:p w:rsidR="00DF3E88" w:rsidRDefault="00DF3E88" w:rsidP="00DF3E88">
      <w:pPr>
        <w:rPr>
          <w:rFonts w:ascii="Arial" w:hAnsi="Arial"/>
        </w:rPr>
      </w:pPr>
    </w:p>
    <w:p w:rsidR="00DF3E88" w:rsidRPr="00FC1E4E" w:rsidRDefault="00DF3E88" w:rsidP="00DF3E88">
      <w:pPr>
        <w:rPr>
          <w:rFonts w:ascii="Arial" w:hAnsi="Arial"/>
        </w:rPr>
      </w:pPr>
    </w:p>
    <w:p w:rsidR="00DF3E88" w:rsidRPr="007F3A3E" w:rsidRDefault="00DF3E88" w:rsidP="00DF3E88">
      <w:pPr>
        <w:jc w:val="both"/>
        <w:rPr>
          <w:rFonts w:ascii="Arial" w:hAnsi="Arial"/>
          <w:b/>
          <w:u w:val="single"/>
        </w:rPr>
      </w:pPr>
      <w:r w:rsidRPr="007F3A3E">
        <w:rPr>
          <w:rFonts w:ascii="Arial" w:hAnsi="Arial"/>
          <w:b/>
          <w:u w:val="single"/>
        </w:rPr>
        <w:t xml:space="preserve">Dissertation : </w:t>
      </w:r>
    </w:p>
    <w:p w:rsidR="00DF3E88" w:rsidRPr="00863525" w:rsidRDefault="00DF3E88" w:rsidP="00DF3E88">
      <w:pPr>
        <w:jc w:val="both"/>
        <w:rPr>
          <w:i/>
        </w:rPr>
      </w:pPr>
      <w:r w:rsidRPr="00863525">
        <w:rPr>
          <w:i/>
        </w:rPr>
        <w:t xml:space="preserve">Peut-on vraiment considérer que le Conseil constitutionnel </w:t>
      </w:r>
      <w:r>
        <w:rPr>
          <w:i/>
        </w:rPr>
        <w:t xml:space="preserve">français </w:t>
      </w:r>
      <w:r w:rsidRPr="00863525">
        <w:rPr>
          <w:i/>
        </w:rPr>
        <w:t>fait respecter un « bloc de constitutionnalité » qui serait l'expression de la volonté du pouvoir constituant ?</w:t>
      </w:r>
    </w:p>
    <w:p w:rsidR="00DF3E88" w:rsidRDefault="00DF3E88" w:rsidP="00DF3E88">
      <w:pPr>
        <w:jc w:val="both"/>
        <w:rPr>
          <w:rFonts w:ascii="Arial" w:hAnsi="Arial"/>
        </w:rPr>
      </w:pPr>
    </w:p>
    <w:p w:rsidR="00DF3E88" w:rsidRPr="00DF3E88" w:rsidRDefault="00DF3E88" w:rsidP="00DF3E88">
      <w:pPr>
        <w:jc w:val="both"/>
        <w:rPr>
          <w:rFonts w:ascii="Arial" w:hAnsi="Arial"/>
          <w:color w:val="0070C0"/>
        </w:rPr>
      </w:pPr>
    </w:p>
    <w:p w:rsidR="00DF3E88" w:rsidRPr="0065088F" w:rsidRDefault="00DF3E88" w:rsidP="00DF3E88">
      <w:pPr>
        <w:jc w:val="both"/>
        <w:rPr>
          <w:rFonts w:ascii="Arial" w:hAnsi="Arial"/>
          <w:color w:val="0070C0"/>
          <w:u w:val="single"/>
        </w:rPr>
      </w:pPr>
      <w:r w:rsidRPr="0065088F">
        <w:rPr>
          <w:rFonts w:ascii="Arial" w:hAnsi="Arial"/>
          <w:color w:val="0070C0"/>
          <w:u w:val="single"/>
        </w:rPr>
        <w:t>Introduction :</w:t>
      </w:r>
    </w:p>
    <w:p w:rsidR="00DF3E88" w:rsidRDefault="00DF3E88" w:rsidP="00DF3E88">
      <w:pPr>
        <w:jc w:val="both"/>
        <w:rPr>
          <w:rFonts w:ascii="Arial" w:hAnsi="Arial"/>
          <w:color w:val="0070C0"/>
        </w:rPr>
      </w:pPr>
      <w:r>
        <w:rPr>
          <w:rFonts w:ascii="Arial" w:hAnsi="Arial"/>
          <w:color w:val="0070C0"/>
        </w:rPr>
        <w:t>- présentation (synthétique) du C.C. : organe « semi-juridictionnel », création de 1958, en rupture avec tradition constit. française légicentriste, amplification considérable du médiocre Comité c</w:t>
      </w:r>
      <w:r w:rsidR="00431858">
        <w:rPr>
          <w:rFonts w:ascii="Arial" w:hAnsi="Arial"/>
          <w:color w:val="0070C0"/>
        </w:rPr>
        <w:t>onstitutionnel de la C° de 1946</w:t>
      </w:r>
      <w:r>
        <w:rPr>
          <w:rFonts w:ascii="Arial" w:hAnsi="Arial"/>
          <w:color w:val="0070C0"/>
        </w:rPr>
        <w:t>, chargé de veiller au dispositif orthopédique de la C° 58, surtout à l’égard des assemblées.</w:t>
      </w:r>
    </w:p>
    <w:p w:rsidR="00DF3E88" w:rsidRDefault="00DF3E88" w:rsidP="00DF3E88">
      <w:pPr>
        <w:jc w:val="both"/>
        <w:rPr>
          <w:rFonts w:ascii="Arial" w:hAnsi="Arial"/>
          <w:color w:val="0070C0"/>
        </w:rPr>
      </w:pPr>
      <w:r>
        <w:rPr>
          <w:rFonts w:ascii="Arial" w:hAnsi="Arial"/>
          <w:color w:val="0070C0"/>
        </w:rPr>
        <w:t>- Bloc de constitutionnalité (BC) : expression doctrinale (non consacrée par le texte de 1958 ni par le C.C. lui-même) due au Pr. Claude Emeri, reprise par L. Favoreu après la décision capitale du 16.7.1971 : désigne l’ensemble des normes juridiques supérieures censées s’imposer aux organes constitutionnels</w:t>
      </w:r>
      <w:r w:rsidR="00431858">
        <w:rPr>
          <w:rFonts w:ascii="Arial" w:hAnsi="Arial"/>
          <w:color w:val="0070C0"/>
        </w:rPr>
        <w:t xml:space="preserve">, en particulier le Parlement &lt;=&gt; On a "gonflé" la notion classique de constitution formelle, que le BC déborde largement. </w:t>
      </w:r>
      <w:r>
        <w:rPr>
          <w:rFonts w:ascii="Arial" w:hAnsi="Arial"/>
          <w:color w:val="0070C0"/>
        </w:rPr>
        <w:t>Mais</w:t>
      </w:r>
      <w:r w:rsidR="00431858">
        <w:rPr>
          <w:rFonts w:ascii="Arial" w:hAnsi="Arial"/>
          <w:color w:val="0070C0"/>
        </w:rPr>
        <w:t>, plus encore,</w:t>
      </w:r>
      <w:r>
        <w:rPr>
          <w:rFonts w:ascii="Arial" w:hAnsi="Arial"/>
          <w:color w:val="0070C0"/>
        </w:rPr>
        <w:t xml:space="preserve"> un certain flou subsiste sur ses contours exacts.</w:t>
      </w:r>
    </w:p>
    <w:p w:rsidR="00DF3E88" w:rsidRDefault="00DF3E88" w:rsidP="00DF3E88">
      <w:pPr>
        <w:jc w:val="both"/>
        <w:rPr>
          <w:rFonts w:ascii="Arial" w:hAnsi="Arial"/>
          <w:color w:val="0070C0"/>
        </w:rPr>
      </w:pPr>
      <w:r>
        <w:rPr>
          <w:rFonts w:ascii="Arial" w:hAnsi="Arial"/>
          <w:color w:val="0070C0"/>
        </w:rPr>
        <w:t>- Pouvoir constituant : censé être à l’origine du droit positif, selon la conception classique du constitutionnalisme libéral volontariste (EU 1787, France 1789</w:t>
      </w:r>
      <w:r w:rsidR="00564DE3">
        <w:rPr>
          <w:rFonts w:ascii="Arial" w:hAnsi="Arial"/>
          <w:color w:val="0070C0"/>
        </w:rPr>
        <w:t xml:space="preserve"> – à l’opposé du constitutionnalisme historique et coutumier incarné notamment par l’Angleterre</w:t>
      </w:r>
      <w:r>
        <w:rPr>
          <w:rFonts w:ascii="Arial" w:hAnsi="Arial"/>
          <w:color w:val="0070C0"/>
        </w:rPr>
        <w:t>), en particulier à travers la constitution (formelle et rigide) envisagée dans une perspective de hiérarchie des normes.</w:t>
      </w:r>
    </w:p>
    <w:p w:rsidR="00DF3E88" w:rsidRDefault="00DF3E88" w:rsidP="00DF3E88">
      <w:pPr>
        <w:jc w:val="both"/>
        <w:rPr>
          <w:rFonts w:ascii="Arial" w:hAnsi="Arial"/>
          <w:color w:val="0070C0"/>
        </w:rPr>
      </w:pPr>
      <w:r>
        <w:rPr>
          <w:rFonts w:ascii="Arial" w:hAnsi="Arial"/>
          <w:color w:val="0070C0"/>
        </w:rPr>
        <w:t xml:space="preserve">*Problématique : ce beau schéma </w:t>
      </w:r>
      <w:r w:rsidR="00564DE3">
        <w:rPr>
          <w:rFonts w:ascii="Arial" w:hAnsi="Arial"/>
          <w:color w:val="0070C0"/>
        </w:rPr>
        <w:t>ne correspond guère</w:t>
      </w:r>
      <w:r>
        <w:rPr>
          <w:rFonts w:ascii="Arial" w:hAnsi="Arial"/>
          <w:color w:val="0070C0"/>
        </w:rPr>
        <w:t xml:space="preserve"> à la réalité juridique et politique</w:t>
      </w:r>
      <w:r w:rsidR="00564DE3">
        <w:rPr>
          <w:rFonts w:ascii="Arial" w:hAnsi="Arial"/>
          <w:color w:val="0070C0"/>
        </w:rPr>
        <w:t>.</w:t>
      </w:r>
    </w:p>
    <w:p w:rsidR="00564DE3" w:rsidRDefault="00564DE3" w:rsidP="00DF3E88">
      <w:pPr>
        <w:jc w:val="both"/>
        <w:rPr>
          <w:rFonts w:ascii="Arial" w:hAnsi="Arial"/>
          <w:color w:val="0070C0"/>
        </w:rPr>
      </w:pPr>
      <w:r>
        <w:rPr>
          <w:rFonts w:ascii="Arial" w:hAnsi="Arial"/>
          <w:color w:val="0070C0"/>
        </w:rPr>
        <w:t>L’intitulé du sujet (« Peut-on vraiment considérer… ? », « BC » entre guillemets, « serait ») le suggère et donc invite au scepticisme.</w:t>
      </w:r>
    </w:p>
    <w:p w:rsidR="00564DE3" w:rsidRDefault="00564DE3" w:rsidP="00DF3E88">
      <w:pPr>
        <w:jc w:val="both"/>
        <w:rPr>
          <w:rFonts w:ascii="Arial" w:hAnsi="Arial"/>
          <w:color w:val="0070C0"/>
        </w:rPr>
      </w:pPr>
    </w:p>
    <w:p w:rsidR="00564DE3" w:rsidRDefault="0065088F" w:rsidP="00DF3E88">
      <w:pPr>
        <w:jc w:val="both"/>
        <w:rPr>
          <w:rFonts w:ascii="Arial" w:hAnsi="Arial"/>
          <w:color w:val="0070C0"/>
        </w:rPr>
      </w:pPr>
      <w:r>
        <w:rPr>
          <w:rFonts w:ascii="Arial" w:hAnsi="Arial"/>
          <w:color w:val="0070C0"/>
        </w:rPr>
        <w:t>=&gt;</w:t>
      </w:r>
      <w:r w:rsidR="00564DE3" w:rsidRPr="0065088F">
        <w:rPr>
          <w:rFonts w:ascii="Arial" w:hAnsi="Arial"/>
          <w:color w:val="0070C0"/>
          <w:u w:val="single"/>
        </w:rPr>
        <w:t>Développements</w:t>
      </w:r>
      <w:r w:rsidR="00564DE3">
        <w:rPr>
          <w:rFonts w:ascii="Arial" w:hAnsi="Arial"/>
          <w:color w:val="0070C0"/>
        </w:rPr>
        <w:t> :</w:t>
      </w:r>
      <w:r>
        <w:rPr>
          <w:rFonts w:ascii="Arial" w:hAnsi="Arial"/>
          <w:color w:val="0070C0"/>
        </w:rPr>
        <w:t xml:space="preserve"> devrai</w:t>
      </w:r>
      <w:r w:rsidR="00564DE3">
        <w:rPr>
          <w:rFonts w:ascii="Arial" w:hAnsi="Arial"/>
          <w:color w:val="0070C0"/>
        </w:rPr>
        <w:t xml:space="preserve">ent </w:t>
      </w:r>
      <w:r>
        <w:rPr>
          <w:rFonts w:ascii="Arial" w:hAnsi="Arial"/>
          <w:color w:val="0070C0"/>
        </w:rPr>
        <w:t xml:space="preserve">idéalement </w:t>
      </w:r>
      <w:r w:rsidR="00564DE3">
        <w:rPr>
          <w:rFonts w:ascii="Arial" w:hAnsi="Arial"/>
          <w:color w:val="0070C0"/>
        </w:rPr>
        <w:t xml:space="preserve">s’articuler sur les 2 points majeurs : </w:t>
      </w:r>
    </w:p>
    <w:p w:rsidR="00564DE3" w:rsidRDefault="00564DE3" w:rsidP="00DF3E88">
      <w:pPr>
        <w:jc w:val="both"/>
        <w:rPr>
          <w:rFonts w:ascii="Arial" w:hAnsi="Arial"/>
          <w:color w:val="0070C0"/>
        </w:rPr>
      </w:pPr>
      <w:r>
        <w:rPr>
          <w:rFonts w:ascii="Arial" w:hAnsi="Arial"/>
          <w:color w:val="0070C0"/>
        </w:rPr>
        <w:t>- contester l’idée que le C.C. « applique » un BC donné d’avance par le pouvoir constituant</w:t>
      </w:r>
    </w:p>
    <w:p w:rsidR="00564DE3" w:rsidRDefault="00564DE3" w:rsidP="00DF3E88">
      <w:pPr>
        <w:jc w:val="both"/>
        <w:rPr>
          <w:rFonts w:ascii="Arial" w:hAnsi="Arial"/>
          <w:color w:val="0070C0"/>
        </w:rPr>
      </w:pPr>
      <w:r>
        <w:rPr>
          <w:rFonts w:ascii="Arial" w:hAnsi="Arial"/>
          <w:color w:val="0070C0"/>
        </w:rPr>
        <w:t>- contester l’idée que le BC en est un</w:t>
      </w:r>
      <w:r w:rsidR="0065088F">
        <w:rPr>
          <w:rFonts w:ascii="Arial" w:hAnsi="Arial"/>
          <w:color w:val="0070C0"/>
        </w:rPr>
        <w:t> !</w:t>
      </w:r>
    </w:p>
    <w:p w:rsidR="00564DE3" w:rsidRDefault="00564DE3" w:rsidP="00DF3E88">
      <w:pPr>
        <w:jc w:val="both"/>
        <w:rPr>
          <w:rFonts w:ascii="Arial" w:hAnsi="Arial"/>
          <w:color w:val="0070C0"/>
        </w:rPr>
      </w:pPr>
    </w:p>
    <w:p w:rsidR="00564DE3" w:rsidRDefault="003740A9" w:rsidP="00DF3E88">
      <w:pPr>
        <w:jc w:val="both"/>
        <w:rPr>
          <w:rFonts w:ascii="Arial" w:hAnsi="Arial"/>
          <w:color w:val="0070C0"/>
        </w:rPr>
      </w:pPr>
      <w:r>
        <w:rPr>
          <w:rFonts w:ascii="Arial" w:hAnsi="Arial"/>
          <w:color w:val="0070C0"/>
        </w:rPr>
        <w:t>I</w:t>
      </w:r>
      <w:r w:rsidR="00431858">
        <w:rPr>
          <w:rFonts w:ascii="Arial" w:hAnsi="Arial"/>
          <w:color w:val="0070C0"/>
        </w:rPr>
        <w:t>) C’est le C.C. qui a inventé le « BC »</w:t>
      </w:r>
      <w:r w:rsidR="00564DE3">
        <w:rPr>
          <w:rFonts w:ascii="Arial" w:hAnsi="Arial"/>
          <w:color w:val="0070C0"/>
        </w:rPr>
        <w:t xml:space="preserve"> et qui </w:t>
      </w:r>
      <w:r w:rsidR="00431858">
        <w:rPr>
          <w:rFonts w:ascii="Arial" w:hAnsi="Arial"/>
          <w:color w:val="0070C0"/>
        </w:rPr>
        <w:t xml:space="preserve">le </w:t>
      </w:r>
      <w:r w:rsidR="00564DE3">
        <w:rPr>
          <w:rFonts w:ascii="Arial" w:hAnsi="Arial"/>
          <w:color w:val="0070C0"/>
        </w:rPr>
        <w:t xml:space="preserve">façonne </w:t>
      </w:r>
    </w:p>
    <w:p w:rsidR="003740A9" w:rsidRDefault="003740A9" w:rsidP="00DF3E88">
      <w:pPr>
        <w:jc w:val="both"/>
        <w:rPr>
          <w:rFonts w:ascii="Arial" w:hAnsi="Arial"/>
          <w:color w:val="0070C0"/>
        </w:rPr>
      </w:pPr>
      <w:r>
        <w:rPr>
          <w:rFonts w:ascii="Arial" w:hAnsi="Arial"/>
          <w:color w:val="0070C0"/>
        </w:rPr>
        <w:t>A) La positivisation extensive de normes constitutionnelles par le C.C. à travers le Préambule</w:t>
      </w:r>
    </w:p>
    <w:p w:rsidR="00564DE3" w:rsidRDefault="00564DE3" w:rsidP="00DF3E88">
      <w:pPr>
        <w:jc w:val="both"/>
        <w:rPr>
          <w:rFonts w:ascii="Arial" w:hAnsi="Arial"/>
          <w:color w:val="0070C0"/>
        </w:rPr>
      </w:pPr>
      <w:r>
        <w:rPr>
          <w:rFonts w:ascii="Arial" w:hAnsi="Arial"/>
          <w:color w:val="0070C0"/>
        </w:rPr>
        <w:t>- Selon les rédacteurs de la C° de 58, le Préambule de 1958 n’avait pas valeur positive à l’égard du législateur</w:t>
      </w:r>
      <w:r w:rsidR="003740A9">
        <w:rPr>
          <w:rFonts w:ascii="Arial" w:hAnsi="Arial"/>
          <w:color w:val="0070C0"/>
        </w:rPr>
        <w:t> ; mais il ne l’a pas expressément spécifié comme l’avait fait son devancier de 1946</w:t>
      </w:r>
      <w:r w:rsidR="00431858">
        <w:rPr>
          <w:rFonts w:ascii="Arial" w:hAnsi="Arial"/>
          <w:color w:val="0070C0"/>
        </w:rPr>
        <w:t xml:space="preserve"> (art. 92 in fine)</w:t>
      </w:r>
      <w:r w:rsidR="003740A9">
        <w:rPr>
          <w:rFonts w:ascii="Arial" w:hAnsi="Arial"/>
          <w:color w:val="0070C0"/>
        </w:rPr>
        <w:t>.</w:t>
      </w:r>
    </w:p>
    <w:p w:rsidR="003740A9" w:rsidRDefault="00564DE3" w:rsidP="00DF3E88">
      <w:pPr>
        <w:jc w:val="both"/>
        <w:rPr>
          <w:rFonts w:ascii="Arial" w:hAnsi="Arial"/>
          <w:color w:val="0070C0"/>
        </w:rPr>
      </w:pPr>
      <w:r>
        <w:rPr>
          <w:rFonts w:ascii="Arial" w:hAnsi="Arial"/>
          <w:color w:val="0070C0"/>
        </w:rPr>
        <w:t>- Tournant de la DC du 16.7. 1971 (on peut négliger la référence au préambule dans une décision antérieure)</w:t>
      </w:r>
    </w:p>
    <w:p w:rsidR="003740A9" w:rsidRDefault="003740A9" w:rsidP="00DF3E88">
      <w:pPr>
        <w:jc w:val="both"/>
        <w:rPr>
          <w:rFonts w:ascii="Arial" w:hAnsi="Arial"/>
          <w:color w:val="0070C0"/>
        </w:rPr>
      </w:pPr>
      <w:r>
        <w:rPr>
          <w:rFonts w:ascii="Arial" w:hAnsi="Arial"/>
          <w:color w:val="0070C0"/>
        </w:rPr>
        <w:t>- Nuance : on peut considérer que le légiconstituant a implicitement validé le coup de 1971 au moment de la révision const. d’octobre 1974 (renforcée par celle de 2008 sur la QPC) – notons toutefois le distinguo nécessaire entre « pouvoir constituant » et « pouvoir de révision » (le Congrès n’est assimilé au pouvoir constituant qu’en vertu d’</w:t>
      </w:r>
      <w:r w:rsidR="00431858">
        <w:rPr>
          <w:rFonts w:ascii="Arial" w:hAnsi="Arial"/>
          <w:color w:val="0070C0"/>
        </w:rPr>
        <w:t>u</w:t>
      </w:r>
      <w:r>
        <w:rPr>
          <w:rFonts w:ascii="Arial" w:hAnsi="Arial"/>
          <w:color w:val="0070C0"/>
        </w:rPr>
        <w:t>n sacré artifice !)</w:t>
      </w:r>
    </w:p>
    <w:p w:rsidR="0065088F" w:rsidRDefault="0065088F" w:rsidP="00DF3E88">
      <w:pPr>
        <w:jc w:val="both"/>
        <w:rPr>
          <w:rFonts w:ascii="Arial" w:hAnsi="Arial"/>
          <w:color w:val="0070C0"/>
        </w:rPr>
      </w:pPr>
    </w:p>
    <w:p w:rsidR="0065088F" w:rsidRDefault="003740A9" w:rsidP="00DF3E88">
      <w:pPr>
        <w:jc w:val="both"/>
        <w:rPr>
          <w:rFonts w:ascii="Arial" w:hAnsi="Arial"/>
          <w:color w:val="0070C0"/>
        </w:rPr>
      </w:pPr>
      <w:r>
        <w:rPr>
          <w:rFonts w:ascii="Arial" w:hAnsi="Arial"/>
          <w:color w:val="0070C0"/>
        </w:rPr>
        <w:t xml:space="preserve">B) le pouvoir créateur du C.C. </w:t>
      </w:r>
    </w:p>
    <w:p w:rsidR="00564DE3" w:rsidRPr="00DF3E88" w:rsidRDefault="0065088F" w:rsidP="00DF3E88">
      <w:pPr>
        <w:jc w:val="both"/>
        <w:rPr>
          <w:rFonts w:ascii="Arial" w:hAnsi="Arial"/>
          <w:color w:val="0070C0"/>
        </w:rPr>
      </w:pPr>
      <w:r>
        <w:rPr>
          <w:rFonts w:ascii="Arial" w:hAnsi="Arial"/>
          <w:color w:val="0070C0"/>
        </w:rPr>
        <w:t xml:space="preserve">- </w:t>
      </w:r>
      <w:r w:rsidR="00C56095">
        <w:rPr>
          <w:rFonts w:ascii="Arial" w:hAnsi="Arial"/>
          <w:color w:val="0070C0"/>
        </w:rPr>
        <w:t>Pas une pure application (pas un acte de pure connaissance) : s</w:t>
      </w:r>
      <w:r w:rsidR="003740A9">
        <w:rPr>
          <w:rFonts w:ascii="Arial" w:hAnsi="Arial"/>
          <w:color w:val="0070C0"/>
        </w:rPr>
        <w:t>on « interprétation » est souvent large création</w:t>
      </w:r>
      <w:r w:rsidR="00C56095">
        <w:rPr>
          <w:rFonts w:ascii="Arial" w:hAnsi="Arial"/>
          <w:color w:val="0070C0"/>
        </w:rPr>
        <w:t xml:space="preserve"> (« concrétisation »</w:t>
      </w:r>
      <w:r w:rsidR="003740A9">
        <w:rPr>
          <w:rFonts w:ascii="Arial" w:hAnsi="Arial"/>
          <w:color w:val="0070C0"/>
        </w:rPr>
        <w:t>)</w:t>
      </w:r>
      <w:r w:rsidR="00564DE3">
        <w:rPr>
          <w:rFonts w:ascii="Arial" w:hAnsi="Arial"/>
          <w:color w:val="0070C0"/>
        </w:rPr>
        <w:t xml:space="preserve"> </w:t>
      </w:r>
    </w:p>
    <w:p w:rsidR="00C56095" w:rsidRDefault="00C56095" w:rsidP="00DF3E88">
      <w:pPr>
        <w:jc w:val="both"/>
        <w:rPr>
          <w:rFonts w:ascii="Arial" w:hAnsi="Arial"/>
          <w:color w:val="0070C0"/>
        </w:rPr>
      </w:pPr>
      <w:r>
        <w:rPr>
          <w:rFonts w:ascii="Arial" w:hAnsi="Arial"/>
          <w:color w:val="0070C0"/>
        </w:rPr>
        <w:t>- La « découverte » perpétuelle de nouveaux principes et règles</w:t>
      </w:r>
    </w:p>
    <w:p w:rsidR="00545ACA" w:rsidRDefault="00545ACA" w:rsidP="00D27696">
      <w:pPr>
        <w:jc w:val="both"/>
        <w:rPr>
          <w:rFonts w:ascii="Arial" w:hAnsi="Arial"/>
          <w:color w:val="0070C0"/>
        </w:rPr>
      </w:pPr>
      <w:r>
        <w:rPr>
          <w:rFonts w:ascii="Arial" w:hAnsi="Arial"/>
          <w:color w:val="0070C0"/>
        </w:rPr>
        <w:t>&lt;-&gt; intrinsèquement lié au caractère ouvert de nombreux énoncés écrits, tout spécialement en matière de droits fondamentaux ou de « principes » dont la formulation est par définition générale</w:t>
      </w:r>
      <w:r w:rsidR="00D27696">
        <w:rPr>
          <w:rFonts w:ascii="Arial" w:hAnsi="Arial"/>
          <w:color w:val="0070C0"/>
        </w:rPr>
        <w:t xml:space="preserve"> (ex : la laïcité, la fraternité, la séparation des pouvoirs,...</w:t>
      </w:r>
      <w:r>
        <w:rPr>
          <w:rFonts w:ascii="Arial" w:hAnsi="Arial"/>
          <w:color w:val="0070C0"/>
        </w:rPr>
        <w:t xml:space="preserve"> les « cavaliers législatifs »</w:t>
      </w:r>
      <w:r w:rsidR="00112305">
        <w:rPr>
          <w:rFonts w:ascii="Arial" w:hAnsi="Arial"/>
          <w:color w:val="0070C0"/>
        </w:rPr>
        <w:t>, et le PFLR, cf. infra II.</w:t>
      </w:r>
      <w:r w:rsidR="00D27696">
        <w:rPr>
          <w:rFonts w:ascii="Arial" w:hAnsi="Arial"/>
          <w:color w:val="0070C0"/>
        </w:rPr>
        <w:t>).</w:t>
      </w:r>
    </w:p>
    <w:p w:rsidR="003740A9" w:rsidRDefault="00545ACA" w:rsidP="00DF3E88">
      <w:pPr>
        <w:jc w:val="both"/>
        <w:rPr>
          <w:rFonts w:ascii="Arial" w:hAnsi="Arial"/>
          <w:color w:val="0070C0"/>
        </w:rPr>
      </w:pPr>
      <w:r>
        <w:rPr>
          <w:rFonts w:ascii="Arial" w:hAnsi="Arial"/>
          <w:color w:val="0070C0"/>
        </w:rPr>
        <w:t xml:space="preserve">- Le plus souvent, le C.C. se contente d’apprécier la proportionnalité d’une mesure </w:t>
      </w:r>
      <w:r w:rsidR="00D27696">
        <w:rPr>
          <w:rFonts w:ascii="Arial" w:hAnsi="Arial"/>
          <w:color w:val="0070C0"/>
        </w:rPr>
        <w:t xml:space="preserve">(notam. législative) </w:t>
      </w:r>
      <w:r>
        <w:rPr>
          <w:rFonts w:ascii="Arial" w:hAnsi="Arial"/>
          <w:color w:val="0070C0"/>
        </w:rPr>
        <w:t>à l’aune d’un principe ou d’une règle générale. Il jouit de ce fait d’une très grande marge d’appréciation.</w:t>
      </w:r>
    </w:p>
    <w:p w:rsidR="00545ACA" w:rsidRDefault="00545ACA" w:rsidP="00DF3E88">
      <w:pPr>
        <w:jc w:val="both"/>
        <w:rPr>
          <w:rFonts w:ascii="Arial" w:hAnsi="Arial"/>
          <w:color w:val="0070C0"/>
        </w:rPr>
      </w:pPr>
    </w:p>
    <w:p w:rsidR="003740A9" w:rsidRDefault="003740A9" w:rsidP="00DF3E88">
      <w:pPr>
        <w:jc w:val="both"/>
        <w:rPr>
          <w:rFonts w:ascii="Arial" w:hAnsi="Arial"/>
          <w:color w:val="0070C0"/>
        </w:rPr>
      </w:pPr>
      <w:r>
        <w:rPr>
          <w:rFonts w:ascii="Arial" w:hAnsi="Arial"/>
          <w:color w:val="0070C0"/>
        </w:rPr>
        <w:t>II) Les contours incertains du « BC »</w:t>
      </w:r>
    </w:p>
    <w:p w:rsidR="003740A9" w:rsidRDefault="003740A9" w:rsidP="00DF3E88">
      <w:pPr>
        <w:jc w:val="both"/>
        <w:rPr>
          <w:rFonts w:ascii="Arial" w:hAnsi="Arial"/>
          <w:color w:val="0070C0"/>
        </w:rPr>
      </w:pPr>
      <w:r>
        <w:rPr>
          <w:rFonts w:ascii="Arial" w:hAnsi="Arial"/>
          <w:color w:val="0070C0"/>
        </w:rPr>
        <w:t xml:space="preserve"> </w:t>
      </w:r>
    </w:p>
    <w:p w:rsidR="003740A9" w:rsidRDefault="00D9274A" w:rsidP="00DF3E88">
      <w:pPr>
        <w:jc w:val="both"/>
        <w:rPr>
          <w:rFonts w:ascii="Arial" w:hAnsi="Arial"/>
          <w:color w:val="0070C0"/>
        </w:rPr>
      </w:pPr>
      <w:r>
        <w:rPr>
          <w:rFonts w:ascii="Arial" w:hAnsi="Arial"/>
          <w:color w:val="0070C0"/>
        </w:rPr>
        <w:t>A</w:t>
      </w:r>
      <w:r w:rsidR="003740A9">
        <w:rPr>
          <w:rFonts w:ascii="Arial" w:hAnsi="Arial"/>
          <w:color w:val="0070C0"/>
        </w:rPr>
        <w:t>) La présence de normes non écrites :</w:t>
      </w:r>
    </w:p>
    <w:p w:rsidR="003740A9" w:rsidRDefault="003740A9" w:rsidP="00DF3E88">
      <w:pPr>
        <w:jc w:val="both"/>
        <w:rPr>
          <w:rFonts w:ascii="Arial" w:hAnsi="Arial"/>
          <w:color w:val="0070C0"/>
        </w:rPr>
      </w:pPr>
      <w:r>
        <w:rPr>
          <w:rFonts w:ascii="Arial" w:hAnsi="Arial"/>
          <w:color w:val="0070C0"/>
        </w:rPr>
        <w:t>- PFLR : catégorie explicite de principes implicites (V. Champeil-Desplats)</w:t>
      </w:r>
      <w:r w:rsidR="00263CBA">
        <w:rPr>
          <w:rFonts w:ascii="Arial" w:hAnsi="Arial"/>
          <w:color w:val="0070C0"/>
        </w:rPr>
        <w:t xml:space="preserve"> ; ils ne sont pas en tant que tels écrits en tant que "principes"</w:t>
      </w:r>
      <w:r>
        <w:rPr>
          <w:rFonts w:ascii="Arial" w:hAnsi="Arial"/>
          <w:color w:val="0070C0"/>
        </w:rPr>
        <w:t>. Donner qq exemples, au moins la liberté d’association !</w:t>
      </w:r>
    </w:p>
    <w:p w:rsidR="003740A9" w:rsidRDefault="003740A9" w:rsidP="00DF3E88">
      <w:pPr>
        <w:jc w:val="both"/>
        <w:rPr>
          <w:rFonts w:ascii="Arial" w:hAnsi="Arial"/>
          <w:color w:val="0070C0"/>
        </w:rPr>
      </w:pPr>
      <w:r>
        <w:rPr>
          <w:rFonts w:ascii="Arial" w:hAnsi="Arial"/>
          <w:color w:val="0070C0"/>
        </w:rPr>
        <w:t>- Principes, exigences, objectifs à valeur constitutionnelle (le vocabulaire du C.C. n’est pas uniforme) : exemple du principe de clarté et sincérité du débat parlementaire ; de l’exigence de clarté et</w:t>
      </w:r>
      <w:r w:rsidR="00BE5CAA">
        <w:rPr>
          <w:rFonts w:ascii="Arial" w:hAnsi="Arial"/>
          <w:color w:val="0070C0"/>
        </w:rPr>
        <w:t>/ou</w:t>
      </w:r>
      <w:r>
        <w:rPr>
          <w:rFonts w:ascii="Arial" w:hAnsi="Arial"/>
          <w:color w:val="0070C0"/>
        </w:rPr>
        <w:t xml:space="preserve"> </w:t>
      </w:r>
      <w:r w:rsidR="00BE5CAA">
        <w:rPr>
          <w:rFonts w:ascii="Arial" w:hAnsi="Arial"/>
          <w:color w:val="0070C0"/>
        </w:rPr>
        <w:t xml:space="preserve">d’accessibilité et </w:t>
      </w:r>
      <w:r>
        <w:rPr>
          <w:rFonts w:ascii="Arial" w:hAnsi="Arial"/>
          <w:color w:val="0070C0"/>
        </w:rPr>
        <w:t>d’intelligibilité de la loi.</w:t>
      </w:r>
    </w:p>
    <w:p w:rsidR="0065088F" w:rsidRDefault="00D9274A" w:rsidP="00DF3E88">
      <w:pPr>
        <w:jc w:val="both"/>
        <w:rPr>
          <w:rFonts w:ascii="Arial" w:hAnsi="Arial"/>
          <w:color w:val="0070C0"/>
        </w:rPr>
      </w:pPr>
      <w:r>
        <w:rPr>
          <w:rFonts w:ascii="Arial" w:hAnsi="Arial"/>
          <w:color w:val="0070C0"/>
        </w:rPr>
        <w:t xml:space="preserve">B) L’extension occasionnelle à d’autres types de normes : </w:t>
      </w:r>
    </w:p>
    <w:p w:rsidR="00D9274A" w:rsidRDefault="0065088F" w:rsidP="00DF3E88">
      <w:pPr>
        <w:jc w:val="both"/>
        <w:rPr>
          <w:rFonts w:ascii="Arial" w:hAnsi="Arial"/>
          <w:color w:val="0070C0"/>
        </w:rPr>
      </w:pPr>
      <w:r>
        <w:rPr>
          <w:rFonts w:ascii="Arial" w:hAnsi="Arial"/>
          <w:color w:val="0070C0"/>
        </w:rPr>
        <w:t xml:space="preserve">- </w:t>
      </w:r>
      <w:r w:rsidR="00D9274A">
        <w:rPr>
          <w:rFonts w:ascii="Arial" w:hAnsi="Arial"/>
          <w:color w:val="0070C0"/>
        </w:rPr>
        <w:t>le</w:t>
      </w:r>
      <w:r w:rsidR="00545ACA">
        <w:rPr>
          <w:rFonts w:ascii="Arial" w:hAnsi="Arial"/>
          <w:color w:val="0070C0"/>
        </w:rPr>
        <w:t xml:space="preserve"> C.C. impose le re</w:t>
      </w:r>
      <w:r w:rsidR="00D9274A">
        <w:rPr>
          <w:rFonts w:ascii="Arial" w:hAnsi="Arial"/>
          <w:color w:val="0070C0"/>
        </w:rPr>
        <w:t>s</w:t>
      </w:r>
      <w:r w:rsidR="00545ACA">
        <w:rPr>
          <w:rFonts w:ascii="Arial" w:hAnsi="Arial"/>
          <w:color w:val="0070C0"/>
        </w:rPr>
        <w:t>pect de</w:t>
      </w:r>
      <w:r w:rsidR="00D9274A">
        <w:rPr>
          <w:rFonts w:ascii="Arial" w:hAnsi="Arial"/>
          <w:color w:val="0070C0"/>
        </w:rPr>
        <w:t xml:space="preserve"> LO</w:t>
      </w:r>
      <w:r w:rsidR="00545ACA">
        <w:rPr>
          <w:rFonts w:ascii="Arial" w:hAnsi="Arial"/>
          <w:color w:val="0070C0"/>
        </w:rPr>
        <w:t xml:space="preserve"> et même d’une loi ordinaire</w:t>
      </w:r>
      <w:r w:rsidR="00545ACA">
        <w:rPr>
          <w:rStyle w:val="Marquenotebasdepage"/>
          <w:rFonts w:ascii="Arial" w:hAnsi="Arial"/>
          <w:color w:val="0070C0"/>
        </w:rPr>
        <w:footnoteReference w:id="2"/>
      </w:r>
      <w:r w:rsidR="00545ACA">
        <w:rPr>
          <w:rFonts w:ascii="Arial" w:hAnsi="Arial"/>
          <w:color w:val="0070C0"/>
        </w:rPr>
        <w:t xml:space="preserve"> aux assemblées</w:t>
      </w:r>
    </w:p>
    <w:p w:rsidR="0065088F" w:rsidRDefault="0065088F" w:rsidP="00DF3E88">
      <w:pPr>
        <w:jc w:val="both"/>
        <w:rPr>
          <w:rFonts w:ascii="Arial" w:hAnsi="Arial"/>
          <w:color w:val="0070C0"/>
        </w:rPr>
      </w:pPr>
      <w:r>
        <w:rPr>
          <w:rFonts w:ascii="Arial" w:hAnsi="Arial"/>
          <w:color w:val="0070C0"/>
        </w:rPr>
        <w:t>- le pb du droit international et européen (question trop complexe pour des L1, mais une allusion à ce pb serait bienvenue</w:t>
      </w:r>
      <w:r w:rsidR="002634B8">
        <w:rPr>
          <w:rFonts w:ascii="Arial" w:hAnsi="Arial"/>
          <w:color w:val="0070C0"/>
        </w:rPr>
        <w:t> : le C.C. a renvoyé à partir de 19</w:t>
      </w:r>
      <w:bookmarkStart w:id="0" w:name="_GoBack"/>
      <w:bookmarkEnd w:id="0"/>
      <w:r w:rsidR="002634B8">
        <w:rPr>
          <w:rFonts w:ascii="Arial" w:hAnsi="Arial"/>
          <w:color w:val="0070C0"/>
        </w:rPr>
        <w:t>75 l’examen de l’inconventionnalité aux juges ordinaires ; primauté du droit européen reconnu par la Constitution depuis 1992, art. 88-1 C</w:t>
      </w:r>
      <w:r>
        <w:rPr>
          <w:rFonts w:ascii="Arial" w:hAnsi="Arial"/>
          <w:color w:val="0070C0"/>
        </w:rPr>
        <w:t>)</w:t>
      </w:r>
    </w:p>
    <w:p w:rsidR="00BE5CAA" w:rsidRDefault="00BE5CAA" w:rsidP="00DF3E88">
      <w:pPr>
        <w:jc w:val="both"/>
        <w:rPr>
          <w:rFonts w:ascii="Arial" w:hAnsi="Arial"/>
          <w:color w:val="0070C0"/>
        </w:rPr>
      </w:pPr>
    </w:p>
    <w:p w:rsidR="00BE5CAA" w:rsidRDefault="00BE5CAA" w:rsidP="00DF3E88">
      <w:pPr>
        <w:jc w:val="both"/>
        <w:rPr>
          <w:rFonts w:ascii="Arial" w:hAnsi="Arial"/>
          <w:color w:val="0070C0"/>
        </w:rPr>
      </w:pPr>
      <w:r>
        <w:rPr>
          <w:rFonts w:ascii="Arial" w:hAnsi="Arial"/>
          <w:color w:val="0070C0"/>
        </w:rPr>
        <w:t>Cl. : Finalement, grande incertitude ! Le concept juridique de c</w:t>
      </w:r>
      <w:r w:rsidR="00112305">
        <w:rPr>
          <w:rFonts w:ascii="Arial" w:hAnsi="Arial"/>
          <w:color w:val="0070C0"/>
        </w:rPr>
        <w:t>onstitution est (devenu) flou (cf. formulation de l'art. 61-1 C);</w:t>
      </w:r>
      <w:r>
        <w:rPr>
          <w:rFonts w:ascii="Arial" w:hAnsi="Arial"/>
          <w:color w:val="0070C0"/>
        </w:rPr>
        <w:t xml:space="preserve"> s’impose ainsi aux gouvernants et gouvernés un ensemble de normes que le « pouvoir constituant » n’avait pas imaginé</w:t>
      </w:r>
      <w:r w:rsidR="00112305">
        <w:rPr>
          <w:rFonts w:ascii="Arial" w:hAnsi="Arial"/>
          <w:color w:val="0070C0"/>
        </w:rPr>
        <w:t>es</w:t>
      </w:r>
      <w:r>
        <w:rPr>
          <w:rFonts w:ascii="Arial" w:hAnsi="Arial"/>
          <w:color w:val="0070C0"/>
        </w:rPr>
        <w:t xml:space="preserve"> en 1958.</w:t>
      </w:r>
    </w:p>
    <w:p w:rsidR="0065088F" w:rsidRPr="00DF3E88" w:rsidRDefault="0065088F" w:rsidP="00DF3E88">
      <w:pPr>
        <w:jc w:val="both"/>
        <w:rPr>
          <w:rFonts w:ascii="Arial" w:hAnsi="Arial"/>
          <w:color w:val="0070C0"/>
        </w:rPr>
      </w:pPr>
    </w:p>
    <w:p w:rsidR="00DF3E88" w:rsidRPr="00DF3E88" w:rsidRDefault="00DF3E88" w:rsidP="00DF3E88">
      <w:pPr>
        <w:jc w:val="both"/>
        <w:rPr>
          <w:rFonts w:ascii="Arial" w:hAnsi="Arial"/>
          <w:color w:val="0070C0"/>
        </w:rPr>
      </w:pPr>
    </w:p>
    <w:p w:rsidR="00DF3E88" w:rsidRPr="007F3A3E" w:rsidRDefault="00DF3E88" w:rsidP="00DF3E88">
      <w:pPr>
        <w:jc w:val="both"/>
        <w:rPr>
          <w:rFonts w:ascii="Arial" w:hAnsi="Arial"/>
          <w:b/>
          <w:u w:val="single"/>
        </w:rPr>
      </w:pPr>
      <w:r w:rsidRPr="007F3A3E">
        <w:rPr>
          <w:rFonts w:ascii="Arial" w:hAnsi="Arial"/>
          <w:b/>
          <w:u w:val="single"/>
        </w:rPr>
        <w:t xml:space="preserve">Commentaire de texte : </w:t>
      </w:r>
    </w:p>
    <w:p w:rsidR="00DF3E88" w:rsidRDefault="00DF3E88" w:rsidP="00DF3E88">
      <w:pPr>
        <w:jc w:val="both"/>
      </w:pPr>
    </w:p>
    <w:p w:rsidR="00DF3E88" w:rsidRDefault="00DF3E88" w:rsidP="00DF3E88">
      <w:pPr>
        <w:jc w:val="both"/>
      </w:pPr>
      <w:r>
        <w:t xml:space="preserve">Extrait de :  René Capitant, « L’aménagement du pouvoir exécutif et la question du chef de l’Etat dans la Constitution française de 1958 », </w:t>
      </w:r>
      <w:r w:rsidRPr="002C1B10">
        <w:rPr>
          <w:i/>
        </w:rPr>
        <w:t>in L’Encyclopédie française</w:t>
      </w:r>
      <w:r>
        <w:t xml:space="preserve">, t. X, 1964 : </w:t>
      </w:r>
    </w:p>
    <w:p w:rsidR="00DF3E88" w:rsidRDefault="00DF3E88" w:rsidP="00DF3E88">
      <w:pPr>
        <w:jc w:val="both"/>
      </w:pPr>
    </w:p>
    <w:p w:rsidR="00DF3E88" w:rsidRPr="002D3EC1" w:rsidRDefault="00A96BD7" w:rsidP="00DF3E88">
      <w:pPr>
        <w:jc w:val="both"/>
        <w:rPr>
          <w:i/>
        </w:rPr>
      </w:pPr>
      <w:r>
        <w:t xml:space="preserve">§ 1. </w:t>
      </w:r>
      <w:r w:rsidR="00DF3E88">
        <w:t>« </w:t>
      </w:r>
      <w:r w:rsidR="00DF3E88" w:rsidRPr="002D3EC1">
        <w:rPr>
          <w:i/>
        </w:rPr>
        <w:t>La Constitution française de 1958 établit une différenciation fondamentale entre le chef de l’Etat et le gouvernement, auxquels sont respectivement consacrés deux titres différents : les titres II et III. Par là</w:t>
      </w:r>
      <w:r w:rsidR="00DF3E88">
        <w:rPr>
          <w:i/>
        </w:rPr>
        <w:t xml:space="preserve"> </w:t>
      </w:r>
      <w:r w:rsidR="00DF3E88" w:rsidRPr="002D3EC1">
        <w:rPr>
          <w:i/>
        </w:rPr>
        <w:t>s’est manifestée la volonté de ses rédacteurs de rester attachés au principe traditionnel du régime parlementaire selon lequel « le Roi règne et ne gouverne pas » -- adage qui, en régime républicain, doit être transposé dans le suivant : « le Président préside et ne gouverne pas ».</w:t>
      </w:r>
    </w:p>
    <w:p w:rsidR="00DF3E88" w:rsidRPr="002D3EC1" w:rsidRDefault="00A96BD7" w:rsidP="00DF3E88">
      <w:pPr>
        <w:jc w:val="both"/>
        <w:rPr>
          <w:i/>
        </w:rPr>
      </w:pPr>
      <w:r>
        <w:rPr>
          <w:i/>
        </w:rPr>
        <w:t xml:space="preserve">§ 2. </w:t>
      </w:r>
      <w:r w:rsidR="00DF3E88" w:rsidRPr="002D3EC1">
        <w:rPr>
          <w:i/>
        </w:rPr>
        <w:t>En régime parlementaire, en effet, ce sont les ministres, constitués en cabinet, qui gouvernent, cependant que le chef de l’Etat est investi d’un pouvoir propre (que Benjamin Constant appelait sous la Restauration le « pouvoir royal » et que nous pouvons appeler aujourd’hui le « pouvoir présidentiel »), dont le contenu varie selon le type de régime parlementaire en vigueur, mais reste toujours différent de celui du pouvoir gouvernemental.</w:t>
      </w:r>
    </w:p>
    <w:p w:rsidR="00DF3E88" w:rsidRPr="002D3EC1" w:rsidRDefault="00A96BD7" w:rsidP="00DF3E88">
      <w:pPr>
        <w:jc w:val="both"/>
        <w:rPr>
          <w:i/>
        </w:rPr>
      </w:pPr>
      <w:r>
        <w:rPr>
          <w:i/>
        </w:rPr>
        <w:t xml:space="preserve">§ 3. </w:t>
      </w:r>
      <w:r w:rsidR="00DF3E88" w:rsidRPr="002D3EC1">
        <w:rPr>
          <w:i/>
        </w:rPr>
        <w:t>Que les fondateurs de la V</w:t>
      </w:r>
      <w:r w:rsidR="00DF3E88" w:rsidRPr="002D3EC1">
        <w:rPr>
          <w:i/>
          <w:vertAlign w:val="superscript"/>
        </w:rPr>
        <w:t>e</w:t>
      </w:r>
      <w:r w:rsidR="00DF3E88" w:rsidRPr="002D3EC1">
        <w:rPr>
          <w:i/>
        </w:rPr>
        <w:t xml:space="preserve"> République aient voulu une semblable distinction et l’aient inscrite dans le texte constitutionnel, c’est ce que démontre sans contestation possible la juxtaposition des articles 5 et 20 de la Constitution (…). </w:t>
      </w:r>
    </w:p>
    <w:p w:rsidR="00DF3E88" w:rsidRPr="002D3EC1" w:rsidRDefault="00A96BD7" w:rsidP="00DF3E88">
      <w:pPr>
        <w:jc w:val="both"/>
        <w:rPr>
          <w:i/>
        </w:rPr>
      </w:pPr>
      <w:r>
        <w:rPr>
          <w:i/>
        </w:rPr>
        <w:t xml:space="preserve">§ 4. </w:t>
      </w:r>
      <w:r w:rsidR="00DF3E88" w:rsidRPr="002D3EC1">
        <w:rPr>
          <w:i/>
        </w:rPr>
        <w:t>Il est clair, par ailleurs, que ces deux pouvoirs, bien que distincts ne sont pas conçus comme séparés l’un de l’autre, et comme devant être exercés par leurs titulaires respectifs en accord et en liaison étroite. Chacun de ces deux pouvoirs participe d’un pouvoir plus large qui est le « pouvoir exécutif » et dont il ne constitue qu’une fraction, ou un aspect. Il en est toujours ainsi en régime parlementaire (…). Fidèles, en cela encore, à la conception parlementaire, les constituants de 1958 ont organisé la liaison entre le pouvoir présidentiel et le pouvoir ministériel avec autant de soin qu’ils mettaient à en proclamer la distinction. (…)</w:t>
      </w:r>
    </w:p>
    <w:p w:rsidR="00DF3E88" w:rsidRPr="002D3EC1" w:rsidRDefault="00DF3E88" w:rsidP="00DF3E88">
      <w:pPr>
        <w:jc w:val="both"/>
        <w:rPr>
          <w:i/>
        </w:rPr>
      </w:pPr>
      <w:r w:rsidRPr="002D3EC1">
        <w:rPr>
          <w:i/>
        </w:rPr>
        <w:t>Mais quel est exactement le contenu de ces deux pouvoirs ? Quels sont leurs rapports dans la V</w:t>
      </w:r>
      <w:r w:rsidRPr="002D3EC1">
        <w:rPr>
          <w:i/>
          <w:vertAlign w:val="superscript"/>
        </w:rPr>
        <w:t>e</w:t>
      </w:r>
      <w:r w:rsidRPr="002D3EC1">
        <w:rPr>
          <w:i/>
        </w:rPr>
        <w:t xml:space="preserve"> République ? (…)</w:t>
      </w:r>
    </w:p>
    <w:p w:rsidR="00DF3E88" w:rsidRPr="002D3EC1" w:rsidRDefault="00A96BD7" w:rsidP="00DF3E88">
      <w:pPr>
        <w:jc w:val="both"/>
        <w:rPr>
          <w:i/>
        </w:rPr>
      </w:pPr>
      <w:r>
        <w:rPr>
          <w:i/>
        </w:rPr>
        <w:t xml:space="preserve">§ 5. </w:t>
      </w:r>
      <w:r w:rsidR="00DF3E88" w:rsidRPr="002D3EC1">
        <w:rPr>
          <w:i/>
        </w:rPr>
        <w:t>On sait que, sous la III</w:t>
      </w:r>
      <w:r w:rsidR="00DF3E88" w:rsidRPr="002D3EC1">
        <w:rPr>
          <w:i/>
          <w:vertAlign w:val="superscript"/>
        </w:rPr>
        <w:t>e</w:t>
      </w:r>
      <w:r w:rsidR="00DF3E88" w:rsidRPr="002D3EC1">
        <w:rPr>
          <w:i/>
        </w:rPr>
        <w:t xml:space="preserve"> République, le pouvoir présidentiel était purement nominal. (…) Sa signature au bas des décrets avait une valeur purement formelle. Elle donnait forme à la volonté ministérielle, mais ne pouvait prétendre à exprimer la volonté présidentielle. Il était interdit au Chef de l’Etat d’avoir une politique personnelle, distincte de celle de ses ministres. (…) Une telle solution ne résultait pas seulement d’une coutume (…), elle résultait de la Constitution elle-même. Elle résultait nécessairement du fait que cette constitution avait consacré la souveraineté du Parlement. (…)</w:t>
      </w:r>
    </w:p>
    <w:p w:rsidR="00DF3E88" w:rsidRPr="002D3EC1" w:rsidRDefault="00A96BD7" w:rsidP="00DF3E88">
      <w:pPr>
        <w:jc w:val="both"/>
        <w:rPr>
          <w:i/>
        </w:rPr>
      </w:pPr>
      <w:r>
        <w:rPr>
          <w:i/>
        </w:rPr>
        <w:t>§ 6</w:t>
      </w:r>
      <w:r w:rsidR="00C31804">
        <w:rPr>
          <w:i/>
        </w:rPr>
        <w:t xml:space="preserve">. </w:t>
      </w:r>
      <w:r>
        <w:rPr>
          <w:i/>
        </w:rPr>
        <w:t xml:space="preserve">§ </w:t>
      </w:r>
      <w:r w:rsidR="00DF3E88" w:rsidRPr="002D3EC1">
        <w:rPr>
          <w:i/>
        </w:rPr>
        <w:t>En revanche, des transformations profondes se sont produites en 1958 (…). L’Assemblée nationale a perdu la souveraineté qu’elle possédait dans les deux Républiques précédentes. (…)</w:t>
      </w:r>
    </w:p>
    <w:p w:rsidR="00DF3E88" w:rsidRPr="002D3EC1" w:rsidRDefault="00A96BD7" w:rsidP="00DF3E88">
      <w:pPr>
        <w:jc w:val="both"/>
        <w:rPr>
          <w:i/>
        </w:rPr>
      </w:pPr>
      <w:r>
        <w:rPr>
          <w:i/>
        </w:rPr>
        <w:t xml:space="preserve">§ 7. </w:t>
      </w:r>
      <w:r w:rsidR="00DF3E88" w:rsidRPr="002D3EC1">
        <w:rPr>
          <w:i/>
        </w:rPr>
        <w:t xml:space="preserve">De la répartition des compétences entre deux organes de l’Etat résulte toujours un certain rapport de forces entre ceux-ci. Ce rapport dépend de la force respective des compétences qui leur ont été attribuées, ou, plus exactement, de la valeur des actes juridiques qu’ils ont reçu le pouvoir d’accomplir. (…) </w:t>
      </w:r>
    </w:p>
    <w:p w:rsidR="00DF3E88" w:rsidRPr="002D3EC1" w:rsidRDefault="00A96BD7" w:rsidP="00DF3E88">
      <w:pPr>
        <w:jc w:val="both"/>
        <w:rPr>
          <w:i/>
        </w:rPr>
      </w:pPr>
      <w:r>
        <w:rPr>
          <w:i/>
        </w:rPr>
        <w:t xml:space="preserve">§ 8. </w:t>
      </w:r>
      <w:r w:rsidR="00DF3E88" w:rsidRPr="002D3EC1">
        <w:rPr>
          <w:i/>
        </w:rPr>
        <w:t>La donnée essentielle, qui commande la réponse, a été dégagée plus haut : c’est à savoir que, pour une part importante de ses fonctions (celle qui correspond au domaine commun) le Premier ministre ne peut rien faire sans l’accord du Président de la République, dont la signature lui est indispensable. (…)</w:t>
      </w:r>
    </w:p>
    <w:p w:rsidR="00DF3E88" w:rsidRPr="002D3EC1" w:rsidRDefault="00A96BD7" w:rsidP="00DF3E88">
      <w:pPr>
        <w:jc w:val="both"/>
        <w:rPr>
          <w:i/>
        </w:rPr>
      </w:pPr>
      <w:r>
        <w:rPr>
          <w:i/>
        </w:rPr>
        <w:t xml:space="preserve">§ 9. </w:t>
      </w:r>
      <w:r w:rsidR="00DF3E88" w:rsidRPr="002D3EC1">
        <w:rPr>
          <w:i/>
        </w:rPr>
        <w:t>Mais sur quoi se fonde notre affirmation ? Qu’est-ce qui permet de dire que la signature du chef de l’Etat a perdu dans le texte de la Constitution de 1958 le caractère formel qu’elle avait précédemment ? (…) Pourquoi la signature a-t-elle changé de sens ? (…)</w:t>
      </w:r>
    </w:p>
    <w:p w:rsidR="00DF3E88" w:rsidRPr="002D3EC1" w:rsidRDefault="00A96BD7" w:rsidP="00DF3E88">
      <w:pPr>
        <w:jc w:val="both"/>
        <w:rPr>
          <w:i/>
        </w:rPr>
      </w:pPr>
      <w:r>
        <w:rPr>
          <w:i/>
        </w:rPr>
        <w:t xml:space="preserve">§ 10. </w:t>
      </w:r>
      <w:r w:rsidR="00DF3E88" w:rsidRPr="002D3EC1">
        <w:rPr>
          <w:i/>
        </w:rPr>
        <w:t xml:space="preserve">Si la situation du chef de l’Etat par rapport au chef de gouvernement a changé, c’est parce que sa position en face du Parlement s’est transformée. Hier le Parlement était souverain et aucun des pouvoirs constitutionnels qui avaient été donnés au chef de l‘Etat ne permettait à celui-ci d’entrer en conflit avec lui, d’opposer sa volonté à celle des chambres. (…) Mais aujourd’hui, le Président de la République est dans une situation tout à fait autre. Il a reçu le droit et les moyens d’équilibrer la volonté parlementaire, de la contenir dans les limites que lui impose la Constitution et de soumettre à l’arbitrage souverain du peuple le conflit politique susceptible de l’opposer à elle. L’exception d’inconstitutionnalité portée devant le Conseil constitutionnel, la dissolution et le référendum, telles sont les trois armes nouvelles qui lui ont été données et qui font de lui, sinon le rival, du moins l’égal du Parlement. </w:t>
      </w:r>
    </w:p>
    <w:p w:rsidR="00DF3E88" w:rsidRDefault="00A96BD7" w:rsidP="00DF3E88">
      <w:pPr>
        <w:jc w:val="both"/>
      </w:pPr>
      <w:r>
        <w:rPr>
          <w:i/>
        </w:rPr>
        <w:t xml:space="preserve">§ 11. </w:t>
      </w:r>
      <w:r w:rsidR="00DF3E88" w:rsidRPr="002D3EC1">
        <w:rPr>
          <w:i/>
        </w:rPr>
        <w:t>Dans ces conditions, rien n’empêche plus le Président de la République de faire valoir dans les conseils du gouvernement une politique personnelle.</w:t>
      </w:r>
      <w:r w:rsidR="00DF3E88">
        <w:t xml:space="preserve"> »  </w:t>
      </w:r>
    </w:p>
    <w:p w:rsidR="00DF3E88" w:rsidRDefault="00DF3E88" w:rsidP="00DF3E88"/>
    <w:p w:rsidR="00DF3E88" w:rsidRDefault="007C20CB">
      <w:pPr>
        <w:rPr>
          <w:color w:val="0070C0"/>
        </w:rPr>
      </w:pPr>
      <w:r>
        <w:rPr>
          <w:color w:val="0070C0"/>
        </w:rPr>
        <w:t xml:space="preserve">Introduction : </w:t>
      </w:r>
    </w:p>
    <w:p w:rsidR="007C20CB" w:rsidRDefault="007C20CB" w:rsidP="00124F39">
      <w:pPr>
        <w:jc w:val="both"/>
        <w:rPr>
          <w:color w:val="0070C0"/>
        </w:rPr>
      </w:pPr>
      <w:r>
        <w:rPr>
          <w:color w:val="0070C0"/>
        </w:rPr>
        <w:t>- René Capitant : les étudiants sont censés le connaître un peu : professeur de droit public depuis les années 1930, mais aussi homme engagé auprès du Général de Gaulle ; critique du parlementarisme de la IIIe et IVe, bon connaisseur de la Constitution de Weimar (« grand-mère de la Ve République »), défenseur de la Ve</w:t>
      </w:r>
      <w:r w:rsidR="00081BDA">
        <w:rPr>
          <w:color w:val="0070C0"/>
        </w:rPr>
        <w:t>.</w:t>
      </w:r>
    </w:p>
    <w:p w:rsidR="00081BDA" w:rsidRDefault="00081BDA" w:rsidP="00124F39">
      <w:pPr>
        <w:jc w:val="both"/>
        <w:rPr>
          <w:color w:val="0070C0"/>
        </w:rPr>
      </w:pPr>
      <w:r>
        <w:rPr>
          <w:color w:val="0070C0"/>
        </w:rPr>
        <w:t>- Chapitre extrait d’une Encyclopédie : il s’agit donc d’un texte à vocation pédagogique mais de haut niveau.</w:t>
      </w:r>
    </w:p>
    <w:p w:rsidR="007C20CB" w:rsidRDefault="007C20CB" w:rsidP="00124F39">
      <w:pPr>
        <w:jc w:val="both"/>
        <w:rPr>
          <w:color w:val="0070C0"/>
        </w:rPr>
      </w:pPr>
      <w:r>
        <w:rPr>
          <w:color w:val="0070C0"/>
        </w:rPr>
        <w:t>- 1964 </w:t>
      </w:r>
      <w:r w:rsidR="00112305">
        <w:rPr>
          <w:color w:val="0070C0"/>
        </w:rPr>
        <w:t xml:space="preserve">(le texte a pu être écrit fin 1963) </w:t>
      </w:r>
      <w:r>
        <w:rPr>
          <w:color w:val="0070C0"/>
        </w:rPr>
        <w:t>: peu après la grande « crise d’adolescence » de la Constitution de 1958 : l’orientation clarificatrice de ce texte ambigu a été opérée (presque unilatéralement) par de Gaulle en 1959-62, consacrée par l’issue de la crise de l’automne 1962 (succès de la réforme const. et victoire aux élections à l’AN).</w:t>
      </w:r>
      <w:r w:rsidR="00081BDA">
        <w:rPr>
          <w:color w:val="0070C0"/>
        </w:rPr>
        <w:t xml:space="preserve"> Mais cette orientation « présidentialiste » a toujours été contestée.</w:t>
      </w:r>
    </w:p>
    <w:p w:rsidR="007C20CB" w:rsidRDefault="007C20CB" w:rsidP="00124F39">
      <w:pPr>
        <w:jc w:val="both"/>
        <w:rPr>
          <w:color w:val="0070C0"/>
        </w:rPr>
      </w:pPr>
      <w:r>
        <w:rPr>
          <w:color w:val="0070C0"/>
        </w:rPr>
        <w:t xml:space="preserve">(Les plus savants évoqueront la conférence de presse du Général le 30 janvier 1964, mais il n’est pas sûr que Capitant n’ait pas écrit son texte un peu avant.) </w:t>
      </w:r>
    </w:p>
    <w:p w:rsidR="00A96BD7" w:rsidRDefault="007C20CB" w:rsidP="00124F39">
      <w:pPr>
        <w:jc w:val="both"/>
        <w:rPr>
          <w:color w:val="0070C0"/>
        </w:rPr>
      </w:pPr>
      <w:r>
        <w:rPr>
          <w:color w:val="0070C0"/>
        </w:rPr>
        <w:t>- Sur le fond : le texte est une tentative d’explication doctrinale du système de gouvernement de la Ve et son articulation au texte de la Constitution de 1958 (révisée 1962)</w:t>
      </w:r>
      <w:r w:rsidR="00A96BD7">
        <w:rPr>
          <w:color w:val="0070C0"/>
        </w:rPr>
        <w:t> : RC essaie</w:t>
      </w:r>
      <w:r w:rsidR="00112305">
        <w:rPr>
          <w:color w:val="0070C0"/>
        </w:rPr>
        <w:t>, en juriste,</w:t>
      </w:r>
      <w:r w:rsidR="00A96BD7">
        <w:rPr>
          <w:color w:val="0070C0"/>
        </w:rPr>
        <w:t xml:space="preserve"> de trouver une cohérence aux diverses dispositions du droit de la constitution</w:t>
      </w:r>
      <w:r>
        <w:rPr>
          <w:color w:val="0070C0"/>
        </w:rPr>
        <w:t>.</w:t>
      </w:r>
      <w:r w:rsidR="00A96BD7">
        <w:rPr>
          <w:color w:val="0070C0"/>
        </w:rPr>
        <w:t xml:space="preserve"> </w:t>
      </w:r>
    </w:p>
    <w:p w:rsidR="007C20CB" w:rsidRDefault="00A96BD7" w:rsidP="00124F39">
      <w:pPr>
        <w:jc w:val="both"/>
        <w:rPr>
          <w:color w:val="0070C0"/>
        </w:rPr>
      </w:pPr>
      <w:r>
        <w:rPr>
          <w:color w:val="0070C0"/>
        </w:rPr>
        <w:t>Les meilleurs rappelleront ma distinction entre droit de la constitution et système de gouvernement.</w:t>
      </w:r>
    </w:p>
    <w:p w:rsidR="00A96BD7" w:rsidRDefault="00A96BD7" w:rsidP="00124F39">
      <w:pPr>
        <w:jc w:val="both"/>
        <w:rPr>
          <w:color w:val="0070C0"/>
        </w:rPr>
      </w:pPr>
    </w:p>
    <w:p w:rsidR="00A96BD7" w:rsidRPr="00A96BD7" w:rsidRDefault="00A96BD7" w:rsidP="00124F39">
      <w:pPr>
        <w:jc w:val="both"/>
        <w:rPr>
          <w:color w:val="0070C0"/>
          <w:u w:val="single"/>
        </w:rPr>
      </w:pPr>
      <w:r w:rsidRPr="00A96BD7">
        <w:rPr>
          <w:color w:val="0070C0"/>
          <w:u w:val="single"/>
        </w:rPr>
        <w:t xml:space="preserve">Eléments à commenter : </w:t>
      </w:r>
    </w:p>
    <w:p w:rsidR="00A96BD7" w:rsidRDefault="00A96BD7" w:rsidP="00124F39">
      <w:pPr>
        <w:jc w:val="both"/>
        <w:rPr>
          <w:color w:val="0070C0"/>
        </w:rPr>
      </w:pPr>
      <w:r>
        <w:rPr>
          <w:color w:val="0070C0"/>
        </w:rPr>
        <w:t>§ 1 : dualité formelle de l’exécutif. RC en tire un peu rapidement un principe substantiel (distinction entre présider/régner et gouverner)</w:t>
      </w:r>
    </w:p>
    <w:p w:rsidR="00A96BD7" w:rsidRDefault="00A96BD7" w:rsidP="00124F39">
      <w:pPr>
        <w:jc w:val="both"/>
        <w:rPr>
          <w:color w:val="0070C0"/>
        </w:rPr>
      </w:pPr>
      <w:r>
        <w:rPr>
          <w:color w:val="0070C0"/>
        </w:rPr>
        <w:t>§ 2 : implique une dualité tout en insistant sur le pouvoir propre du chef de l’Etat et légitime son propos en se raccrochant à la théorie de Constant</w:t>
      </w:r>
      <w:r w:rsidR="00F431B9">
        <w:rPr>
          <w:color w:val="0070C0"/>
        </w:rPr>
        <w:t xml:space="preserve"> (Il manque une référence à Guizot !)</w:t>
      </w:r>
    </w:p>
    <w:p w:rsidR="00A96BD7" w:rsidRDefault="00A96BD7" w:rsidP="00124F39">
      <w:pPr>
        <w:jc w:val="both"/>
        <w:rPr>
          <w:color w:val="0070C0"/>
        </w:rPr>
      </w:pPr>
      <w:r>
        <w:rPr>
          <w:color w:val="0070C0"/>
        </w:rPr>
        <w:t>§ 3 : art. 5 et 20</w:t>
      </w:r>
    </w:p>
    <w:p w:rsidR="00A96BD7" w:rsidRDefault="00A96BD7" w:rsidP="00124F39">
      <w:pPr>
        <w:jc w:val="both"/>
        <w:rPr>
          <w:color w:val="0070C0"/>
        </w:rPr>
      </w:pPr>
      <w:r>
        <w:rPr>
          <w:color w:val="0070C0"/>
        </w:rPr>
        <w:t>§ 4</w:t>
      </w:r>
      <w:r w:rsidR="00C31804">
        <w:rPr>
          <w:color w:val="0070C0"/>
        </w:rPr>
        <w:t xml:space="preserve"> : distinction entre PR et Gvt ne signifie </w:t>
      </w:r>
      <w:r w:rsidR="00C31804" w:rsidRPr="008624E2">
        <w:rPr>
          <w:color w:val="0070C0"/>
          <w:u w:val="single"/>
        </w:rPr>
        <w:t>pas séparation étan</w:t>
      </w:r>
      <w:r w:rsidR="008624E2">
        <w:rPr>
          <w:color w:val="0070C0"/>
          <w:u w:val="single"/>
        </w:rPr>
        <w:t>che</w:t>
      </w:r>
      <w:r w:rsidR="00C31804">
        <w:rPr>
          <w:color w:val="0070C0"/>
        </w:rPr>
        <w:t> ; unité du « pouvoir exécutif » ; question essentielle de préciser cette articulation</w:t>
      </w:r>
      <w:r>
        <w:rPr>
          <w:color w:val="0070C0"/>
        </w:rPr>
        <w:t xml:space="preserve"> </w:t>
      </w:r>
    </w:p>
    <w:p w:rsidR="00A96BD7" w:rsidRDefault="00C31804" w:rsidP="00124F39">
      <w:pPr>
        <w:jc w:val="both"/>
        <w:rPr>
          <w:color w:val="0070C0"/>
        </w:rPr>
      </w:pPr>
      <w:r>
        <w:rPr>
          <w:color w:val="0070C0"/>
        </w:rPr>
        <w:t xml:space="preserve">§ 5 : explication de la neutralisation du PR dans LC 1875 : RC en donne une explication qui peut surprendre : pas technique (l’exigence du contreseing pour tous les actes du PR) mais </w:t>
      </w:r>
      <w:r w:rsidRPr="008624E2">
        <w:rPr>
          <w:color w:val="0070C0"/>
          <w:u w:val="single"/>
        </w:rPr>
        <w:t>systémique</w:t>
      </w:r>
      <w:r>
        <w:rPr>
          <w:color w:val="0070C0"/>
        </w:rPr>
        <w:t> : la « souveraineté » du Parlement. Reprise des idées de Carré de Malberg. Elle est intéressante mais pas sans défaut (présente comme une nécessité ou une fatalité quelque chose qui est aussi une construction… ;</w:t>
      </w:r>
      <w:r w:rsidRPr="00C31804">
        <w:rPr>
          <w:color w:val="0070C0"/>
        </w:rPr>
        <w:t xml:space="preserve"> </w:t>
      </w:r>
      <w:r>
        <w:rPr>
          <w:color w:val="0070C0"/>
        </w:rPr>
        <w:t>Terme peu adéquat : dans une démocratie constitutionnelle, aucun organe ne peut être littéralement souverain.)</w:t>
      </w:r>
    </w:p>
    <w:p w:rsidR="00C31804" w:rsidRDefault="00C31804" w:rsidP="00124F39">
      <w:pPr>
        <w:jc w:val="both"/>
        <w:rPr>
          <w:color w:val="0070C0"/>
        </w:rPr>
      </w:pPr>
      <w:r>
        <w:rPr>
          <w:color w:val="0070C0"/>
        </w:rPr>
        <w:t>§ 6. Contraste avec C° de 1958 </w:t>
      </w:r>
      <w:r w:rsidRPr="002A2424">
        <w:rPr>
          <w:color w:val="0070C0"/>
          <w:u w:val="single"/>
        </w:rPr>
        <w:t>: l’</w:t>
      </w:r>
      <w:r w:rsidR="008624E2" w:rsidRPr="002A2424">
        <w:rPr>
          <w:color w:val="0070C0"/>
          <w:u w:val="single"/>
        </w:rPr>
        <w:t>AN a perdu sa souveraineté</w:t>
      </w:r>
      <w:r w:rsidR="008624E2">
        <w:rPr>
          <w:color w:val="0070C0"/>
        </w:rPr>
        <w:t>. C</w:t>
      </w:r>
      <w:r>
        <w:rPr>
          <w:color w:val="0070C0"/>
        </w:rPr>
        <w:t>e passage du texte ne donne pas les détails</w:t>
      </w:r>
      <w:r w:rsidR="008624E2">
        <w:rPr>
          <w:color w:val="0070C0"/>
        </w:rPr>
        <w:t xml:space="preserve"> (mais ils apparaissent au § 10)</w:t>
      </w:r>
      <w:r>
        <w:rPr>
          <w:color w:val="0070C0"/>
        </w:rPr>
        <w:t>. Les étudiants pourraient mentionner plusieurs arguments : l’introduction du référendum et de la dissolution plus aisée de l’AN, le mode d’élection du PR, la création du Conseil constitutionnel. Mais il est un peu osé de prétendre que l’AN ne conserve pas une place décisive. RC prend ses désirs pour des réalités !</w:t>
      </w:r>
    </w:p>
    <w:p w:rsidR="00C31804" w:rsidRDefault="00C31804" w:rsidP="00124F39">
      <w:pPr>
        <w:jc w:val="both"/>
        <w:rPr>
          <w:color w:val="0070C0"/>
        </w:rPr>
      </w:pPr>
      <w:r>
        <w:rPr>
          <w:color w:val="0070C0"/>
        </w:rPr>
        <w:t>§ 7. Démarche très juriste de RC : il faut regarder en détail les compétences des organes.</w:t>
      </w:r>
    </w:p>
    <w:p w:rsidR="00C31804" w:rsidRDefault="00C31804" w:rsidP="00124F39">
      <w:pPr>
        <w:jc w:val="both"/>
        <w:rPr>
          <w:color w:val="0070C0"/>
        </w:rPr>
      </w:pPr>
      <w:r>
        <w:rPr>
          <w:color w:val="0070C0"/>
        </w:rPr>
        <w:t>§ 8. Argument central pour RC </w:t>
      </w:r>
      <w:r w:rsidRPr="008624E2">
        <w:rPr>
          <w:color w:val="0070C0"/>
          <w:u w:val="single"/>
        </w:rPr>
        <w:t>: le PM ne peut rien faire sans l’accord du PR.</w:t>
      </w:r>
    </w:p>
    <w:p w:rsidR="00C31804" w:rsidRDefault="00C31804" w:rsidP="00124F39">
      <w:pPr>
        <w:jc w:val="both"/>
        <w:rPr>
          <w:color w:val="0070C0"/>
        </w:rPr>
      </w:pPr>
      <w:r>
        <w:rPr>
          <w:color w:val="0070C0"/>
        </w:rPr>
        <w:t xml:space="preserve">ici, les étudiants doivent donner des illustrations de cette idée : art. 19, art. 9, 10, 11, </w:t>
      </w:r>
      <w:r w:rsidR="00966D98">
        <w:rPr>
          <w:color w:val="0070C0"/>
        </w:rPr>
        <w:t>13, 89</w:t>
      </w:r>
    </w:p>
    <w:p w:rsidR="00C31804" w:rsidRDefault="00966D98" w:rsidP="00124F39">
      <w:pPr>
        <w:jc w:val="both"/>
        <w:rPr>
          <w:color w:val="0070C0"/>
        </w:rPr>
      </w:pPr>
      <w:r>
        <w:rPr>
          <w:color w:val="0070C0"/>
        </w:rPr>
        <w:t xml:space="preserve">§ 9 : Transition pour comprendre la différence entre le dualisme nominal de 1875 et le dualisme effectif de 1958 </w:t>
      </w:r>
    </w:p>
    <w:p w:rsidR="00966D98" w:rsidRPr="00D13766" w:rsidRDefault="00966D98" w:rsidP="00124F39">
      <w:pPr>
        <w:jc w:val="both"/>
        <w:rPr>
          <w:color w:val="0070C0"/>
        </w:rPr>
      </w:pPr>
      <w:r>
        <w:rPr>
          <w:color w:val="0070C0"/>
        </w:rPr>
        <w:t xml:space="preserve">§ 10 : </w:t>
      </w:r>
      <w:r w:rsidRPr="008624E2">
        <w:rPr>
          <w:color w:val="0070C0"/>
          <w:u w:val="single"/>
        </w:rPr>
        <w:t>« Le PR a reçu le droit et les moyens d’équilibrer la volonté parlementaire »</w:t>
      </w:r>
      <w:r w:rsidR="00D13766" w:rsidRPr="00D13766">
        <w:rPr>
          <w:color w:val="0070C0"/>
        </w:rPr>
        <w:t> ; apporter des nuances sur l’autonomie du référendum (doit être proposé) et relever le caractère impropre de « exception d’inconstitutionnalité »</w:t>
      </w:r>
    </w:p>
    <w:p w:rsidR="00A96BD7" w:rsidRDefault="00966D98" w:rsidP="00124F39">
      <w:pPr>
        <w:jc w:val="both"/>
        <w:rPr>
          <w:color w:val="0070C0"/>
        </w:rPr>
      </w:pPr>
      <w:r>
        <w:rPr>
          <w:color w:val="0070C0"/>
        </w:rPr>
        <w:t>§ 11. RC tire la conclusion que le PR de la Ve peut tenter une politique personnelle. Le dualisme peut être effectif.</w:t>
      </w:r>
      <w:r w:rsidR="00081BDA">
        <w:rPr>
          <w:color w:val="0070C0"/>
        </w:rPr>
        <w:t xml:space="preserve"> (On peut trouver cela un peu contradictoire avec l’affirmation du § 1)</w:t>
      </w:r>
    </w:p>
    <w:p w:rsidR="00A96BD7" w:rsidRDefault="00A96BD7" w:rsidP="00124F39">
      <w:pPr>
        <w:jc w:val="both"/>
        <w:rPr>
          <w:color w:val="0070C0"/>
        </w:rPr>
      </w:pPr>
    </w:p>
    <w:p w:rsidR="00081BDA" w:rsidRDefault="00081BDA" w:rsidP="00124F39">
      <w:pPr>
        <w:jc w:val="both"/>
        <w:rPr>
          <w:color w:val="0070C0"/>
        </w:rPr>
      </w:pPr>
      <w:r>
        <w:rPr>
          <w:color w:val="0070C0"/>
        </w:rPr>
        <w:t>Les étudiants ont une large marge de manœuvre pour utiliser les éléments du texte mais ils doivent s’appuyer sur lui dans leurs développements.</w:t>
      </w:r>
    </w:p>
    <w:p w:rsidR="00081BDA" w:rsidRDefault="00081BDA" w:rsidP="00124F39">
      <w:pPr>
        <w:jc w:val="both"/>
        <w:rPr>
          <w:color w:val="0070C0"/>
        </w:rPr>
      </w:pPr>
    </w:p>
    <w:p w:rsidR="00081BDA" w:rsidRDefault="00081BDA" w:rsidP="00124F39">
      <w:pPr>
        <w:jc w:val="both"/>
        <w:rPr>
          <w:color w:val="0070C0"/>
        </w:rPr>
      </w:pPr>
      <w:r w:rsidRPr="00124F39">
        <w:rPr>
          <w:color w:val="0070C0"/>
          <w:u w:val="single"/>
        </w:rPr>
        <w:t>Problématique</w:t>
      </w:r>
      <w:r>
        <w:rPr>
          <w:color w:val="0070C0"/>
        </w:rPr>
        <w:t> : dès le début des années 1960, de Gaulle oriente le fonctionnement du système de gouvernement dans un certain sens (« présidentialiste », pour faire court), alors que le texte de la Constitution de 1958 donnait</w:t>
      </w:r>
      <w:r w:rsidR="00124F39">
        <w:rPr>
          <w:color w:val="0070C0"/>
        </w:rPr>
        <w:t>,</w:t>
      </w:r>
      <w:r>
        <w:rPr>
          <w:color w:val="0070C0"/>
        </w:rPr>
        <w:t xml:space="preserve"> au plus grand nombre des politiques et des juristes</w:t>
      </w:r>
      <w:r w:rsidR="00124F39">
        <w:rPr>
          <w:color w:val="0070C0"/>
        </w:rPr>
        <w:t>, l’impression d’organiser différemment l’exercice du pouvoir.</w:t>
      </w:r>
    </w:p>
    <w:p w:rsidR="00124F39" w:rsidRDefault="00124F39" w:rsidP="00124F39">
      <w:pPr>
        <w:jc w:val="both"/>
        <w:rPr>
          <w:color w:val="0070C0"/>
        </w:rPr>
      </w:pPr>
      <w:r>
        <w:rPr>
          <w:color w:val="0070C0"/>
        </w:rPr>
        <w:t>Capitant (favorable à de Gaulle) essaie, en juriste, de mettre en cohérence doctrinale cette pratique du pouvoir et de démontrer qu’elle n’est pas contraire au texte constitutionnel.</w:t>
      </w:r>
    </w:p>
    <w:p w:rsidR="00F431B9" w:rsidRDefault="002A2424" w:rsidP="00124F39">
      <w:pPr>
        <w:jc w:val="both"/>
        <w:rPr>
          <w:color w:val="0070C0"/>
        </w:rPr>
      </w:pPr>
      <w:r>
        <w:rPr>
          <w:color w:val="0070C0"/>
        </w:rPr>
        <w:t>Pour cela, il insiste sur l’intérêt d’une lecture dualiste du texte tout en apportant une explication légitimant le caractère effectif de ce dualisme</w:t>
      </w:r>
      <w:r w:rsidR="00F431B9">
        <w:rPr>
          <w:color w:val="0070C0"/>
        </w:rPr>
        <w:t xml:space="preserve"> dans le cas de la Ve</w:t>
      </w:r>
      <w:r w:rsidR="00112305">
        <w:rPr>
          <w:color w:val="0070C0"/>
        </w:rPr>
        <w:t>, même s'il admet implicitement qu'elle n'est pas la seule possible</w:t>
      </w:r>
      <w:r>
        <w:rPr>
          <w:color w:val="0070C0"/>
        </w:rPr>
        <w:t>.</w:t>
      </w:r>
      <w:r w:rsidR="00112305">
        <w:rPr>
          <w:color w:val="0070C0"/>
        </w:rPr>
        <w:t xml:space="preserve"> </w:t>
      </w:r>
    </w:p>
    <w:p w:rsidR="00124F39" w:rsidRDefault="00124F39" w:rsidP="00124F39">
      <w:pPr>
        <w:jc w:val="both"/>
        <w:rPr>
          <w:color w:val="0070C0"/>
        </w:rPr>
      </w:pPr>
      <w:r>
        <w:rPr>
          <w:color w:val="0070C0"/>
        </w:rPr>
        <w:t xml:space="preserve"> </w:t>
      </w:r>
    </w:p>
    <w:p w:rsidR="00081BDA" w:rsidRDefault="00081BDA" w:rsidP="00124F39">
      <w:pPr>
        <w:jc w:val="both"/>
        <w:rPr>
          <w:color w:val="0070C0"/>
        </w:rPr>
      </w:pPr>
      <w:r>
        <w:rPr>
          <w:color w:val="0070C0"/>
        </w:rPr>
        <w:t xml:space="preserve"> </w:t>
      </w:r>
    </w:p>
    <w:p w:rsidR="00124F39" w:rsidRDefault="00124F39" w:rsidP="00124F39">
      <w:pPr>
        <w:jc w:val="both"/>
        <w:rPr>
          <w:color w:val="0070C0"/>
        </w:rPr>
      </w:pPr>
      <w:r>
        <w:rPr>
          <w:color w:val="0070C0"/>
        </w:rPr>
        <w:t xml:space="preserve">I. </w:t>
      </w:r>
      <w:r w:rsidR="00CC7E70">
        <w:rPr>
          <w:color w:val="0070C0"/>
        </w:rPr>
        <w:t>Un</w:t>
      </w:r>
      <w:r w:rsidR="002A2424">
        <w:rPr>
          <w:color w:val="0070C0"/>
        </w:rPr>
        <w:t xml:space="preserve">e </w:t>
      </w:r>
      <w:r w:rsidR="00CC7E70">
        <w:rPr>
          <w:color w:val="0070C0"/>
        </w:rPr>
        <w:t xml:space="preserve">lecture dynamique en faveur de l’interprétation </w:t>
      </w:r>
      <w:r>
        <w:rPr>
          <w:color w:val="0070C0"/>
        </w:rPr>
        <w:t>duali</w:t>
      </w:r>
      <w:r w:rsidR="00CC7E70">
        <w:rPr>
          <w:color w:val="0070C0"/>
        </w:rPr>
        <w:t>ste du texte</w:t>
      </w:r>
    </w:p>
    <w:p w:rsidR="00D13766" w:rsidRDefault="00CC7E70" w:rsidP="00124F39">
      <w:pPr>
        <w:jc w:val="both"/>
        <w:rPr>
          <w:color w:val="0070C0"/>
        </w:rPr>
      </w:pPr>
      <w:r>
        <w:rPr>
          <w:color w:val="0070C0"/>
        </w:rPr>
        <w:t>A. L’adaptation du classicisme dualiste par le texte de 1958</w:t>
      </w:r>
      <w:r w:rsidR="00F431B9">
        <w:rPr>
          <w:color w:val="0070C0"/>
        </w:rPr>
        <w:t xml:space="preserve"> : </w:t>
      </w:r>
    </w:p>
    <w:p w:rsidR="00D13766" w:rsidRDefault="00D13766" w:rsidP="00124F39">
      <w:pPr>
        <w:jc w:val="both"/>
        <w:rPr>
          <w:color w:val="0070C0"/>
        </w:rPr>
      </w:pPr>
      <w:r>
        <w:rPr>
          <w:color w:val="0070C0"/>
        </w:rPr>
        <w:t xml:space="preserve">- </w:t>
      </w:r>
      <w:r w:rsidR="00F431B9">
        <w:rPr>
          <w:color w:val="0070C0"/>
        </w:rPr>
        <w:t>l</w:t>
      </w:r>
      <w:r>
        <w:rPr>
          <w:color w:val="0070C0"/>
        </w:rPr>
        <w:t xml:space="preserve">es art. 5 et 20 </w:t>
      </w:r>
    </w:p>
    <w:p w:rsidR="002A2424" w:rsidRDefault="00D13766" w:rsidP="00124F39">
      <w:pPr>
        <w:jc w:val="both"/>
        <w:rPr>
          <w:color w:val="0070C0"/>
        </w:rPr>
      </w:pPr>
      <w:r>
        <w:rPr>
          <w:color w:val="0070C0"/>
        </w:rPr>
        <w:t>-</w:t>
      </w:r>
      <w:r w:rsidR="00F431B9">
        <w:rPr>
          <w:color w:val="0070C0"/>
        </w:rPr>
        <w:t xml:space="preserve"> la référence à B. Constant</w:t>
      </w:r>
    </w:p>
    <w:p w:rsidR="00D13766" w:rsidRDefault="00CC7E70" w:rsidP="00124F39">
      <w:pPr>
        <w:jc w:val="both"/>
        <w:rPr>
          <w:color w:val="0070C0"/>
        </w:rPr>
      </w:pPr>
      <w:r>
        <w:rPr>
          <w:color w:val="0070C0"/>
        </w:rPr>
        <w:t xml:space="preserve">B. </w:t>
      </w:r>
      <w:r w:rsidR="00F431B9">
        <w:rPr>
          <w:color w:val="0070C0"/>
        </w:rPr>
        <w:t xml:space="preserve">Les incertitudes du dualisme : </w:t>
      </w:r>
    </w:p>
    <w:p w:rsidR="00D13766" w:rsidRDefault="00D13766" w:rsidP="00124F39">
      <w:pPr>
        <w:jc w:val="both"/>
        <w:rPr>
          <w:color w:val="0070C0"/>
        </w:rPr>
      </w:pPr>
      <w:r>
        <w:rPr>
          <w:color w:val="0070C0"/>
        </w:rPr>
        <w:t xml:space="preserve">- </w:t>
      </w:r>
      <w:r w:rsidR="00F431B9">
        <w:rPr>
          <w:color w:val="0070C0"/>
        </w:rPr>
        <w:t>Maladresse (?) de la référence à la maxime distinguant régner/présider et gouverner</w:t>
      </w:r>
      <w:r w:rsidR="00112305">
        <w:rPr>
          <w:color w:val="0070C0"/>
        </w:rPr>
        <w:t xml:space="preserve"> (Guizot auait mieux convenu que Constant !</w:t>
      </w:r>
      <w:r>
        <w:rPr>
          <w:color w:val="0070C0"/>
        </w:rPr>
        <w:t xml:space="preserve">) </w:t>
      </w:r>
    </w:p>
    <w:p w:rsidR="00CC7E70" w:rsidRDefault="00D13766" w:rsidP="00124F39">
      <w:pPr>
        <w:jc w:val="both"/>
        <w:rPr>
          <w:color w:val="0070C0"/>
        </w:rPr>
      </w:pPr>
      <w:r>
        <w:rPr>
          <w:color w:val="0070C0"/>
        </w:rPr>
        <w:t xml:space="preserve">- </w:t>
      </w:r>
      <w:r w:rsidR="00F431B9">
        <w:rPr>
          <w:color w:val="0070C0"/>
        </w:rPr>
        <w:t>RC est conscient que le dualisme peut n’être que de façade (cas de la IIIe République)</w:t>
      </w:r>
    </w:p>
    <w:p w:rsidR="00CC7E70" w:rsidRDefault="00CC7E70" w:rsidP="00124F39">
      <w:pPr>
        <w:jc w:val="both"/>
        <w:rPr>
          <w:color w:val="0070C0"/>
        </w:rPr>
      </w:pPr>
    </w:p>
    <w:p w:rsidR="00124F39" w:rsidRDefault="00124F39" w:rsidP="00124F39">
      <w:pPr>
        <w:jc w:val="both"/>
        <w:rPr>
          <w:color w:val="0070C0"/>
        </w:rPr>
      </w:pPr>
      <w:r>
        <w:rPr>
          <w:color w:val="0070C0"/>
        </w:rPr>
        <w:t xml:space="preserve">II. </w:t>
      </w:r>
      <w:r w:rsidR="002A2424">
        <w:rPr>
          <w:color w:val="0070C0"/>
        </w:rPr>
        <w:t>Une légitimation de l’effectivité du dualisme</w:t>
      </w:r>
    </w:p>
    <w:p w:rsidR="00124F39" w:rsidRDefault="00CC7E70" w:rsidP="00124F39">
      <w:pPr>
        <w:jc w:val="both"/>
        <w:rPr>
          <w:color w:val="0070C0"/>
        </w:rPr>
      </w:pPr>
      <w:r>
        <w:rPr>
          <w:color w:val="0070C0"/>
        </w:rPr>
        <w:t>A. Au sein de l’Exécutif : le Gvt ne peut rien sans la coopération du PR</w:t>
      </w:r>
    </w:p>
    <w:p w:rsidR="00D13766" w:rsidRDefault="00D13766" w:rsidP="00124F39">
      <w:pPr>
        <w:jc w:val="both"/>
        <w:rPr>
          <w:color w:val="0070C0"/>
        </w:rPr>
      </w:pPr>
      <w:r>
        <w:rPr>
          <w:color w:val="0070C0"/>
        </w:rPr>
        <w:t>- Citer le contreseing et les « pouvoirs partagés » (articles 9, 10, 13,…)</w:t>
      </w:r>
    </w:p>
    <w:p w:rsidR="00112305" w:rsidRDefault="00CC7E70" w:rsidP="00124F39">
      <w:pPr>
        <w:jc w:val="both"/>
        <w:rPr>
          <w:color w:val="0070C0"/>
        </w:rPr>
      </w:pPr>
      <w:r>
        <w:rPr>
          <w:color w:val="0070C0"/>
        </w:rPr>
        <w:t>B. Dans les rapports avec le parlement : le PR a reçu les moyens d’équilibrer la volonté parlementaire (fin de la « souveraineté » de l’Assemblée)</w:t>
      </w:r>
      <w:r w:rsidR="00D13766">
        <w:rPr>
          <w:color w:val="0070C0"/>
        </w:rPr>
        <w:t> : référendum, dissolution, « exception d’inconstitutionnalité »)</w:t>
      </w:r>
    </w:p>
    <w:p w:rsidR="00CC7E70" w:rsidRDefault="00112305" w:rsidP="00124F39">
      <w:pPr>
        <w:jc w:val="both"/>
        <w:rPr>
          <w:color w:val="0070C0"/>
        </w:rPr>
      </w:pPr>
      <w:r>
        <w:rPr>
          <w:color w:val="0070C0"/>
        </w:rPr>
        <w:t>=&gt; en filigrane : le PR peut "capter" les ressorts du parlementarisme tant qu'une majorité ne joue pas contre lui ; RC n'emploie pas expressément cette idée, il raisonne en termes un peu mécanistes.</w:t>
      </w:r>
    </w:p>
    <w:p w:rsidR="00124F39" w:rsidRDefault="00124F39" w:rsidP="00124F39">
      <w:pPr>
        <w:jc w:val="both"/>
        <w:rPr>
          <w:color w:val="0070C0"/>
        </w:rPr>
      </w:pPr>
    </w:p>
    <w:p w:rsidR="00F431B9" w:rsidRDefault="00F431B9" w:rsidP="00124F39">
      <w:pPr>
        <w:jc w:val="both"/>
        <w:rPr>
          <w:color w:val="0070C0"/>
        </w:rPr>
      </w:pPr>
      <w:r>
        <w:rPr>
          <w:color w:val="0070C0"/>
        </w:rPr>
        <w:t>Cl : Construction de RC est habile, recevable et subtil</w:t>
      </w:r>
      <w:r w:rsidR="00112305">
        <w:rPr>
          <w:color w:val="0070C0"/>
        </w:rPr>
        <w:t>e</w:t>
      </w:r>
      <w:r>
        <w:rPr>
          <w:color w:val="0070C0"/>
        </w:rPr>
        <w:t xml:space="preserve"> (il admet que le rôle présidentiel peut varier), mais aussi contestable. Excès de la pratique présidentialiste après de Gaulle ? </w:t>
      </w:r>
    </w:p>
    <w:p w:rsidR="00F431B9" w:rsidRDefault="00F431B9" w:rsidP="00124F39">
      <w:pPr>
        <w:jc w:val="both"/>
        <w:rPr>
          <w:color w:val="0070C0"/>
        </w:rPr>
      </w:pPr>
    </w:p>
    <w:p w:rsidR="002A2424" w:rsidRDefault="002A2424" w:rsidP="00124F39">
      <w:pPr>
        <w:jc w:val="both"/>
        <w:rPr>
          <w:color w:val="0070C0"/>
        </w:rPr>
      </w:pPr>
    </w:p>
    <w:p w:rsidR="002A2424" w:rsidRPr="002A2424" w:rsidRDefault="002A2424" w:rsidP="00124F39">
      <w:pPr>
        <w:jc w:val="both"/>
        <w:rPr>
          <w:color w:val="0070C0"/>
          <w:u w:val="single"/>
        </w:rPr>
      </w:pPr>
      <w:r w:rsidRPr="002A2424">
        <w:rPr>
          <w:color w:val="0070C0"/>
          <w:u w:val="single"/>
        </w:rPr>
        <w:t xml:space="preserve">Autre plan possible : </w:t>
      </w:r>
    </w:p>
    <w:p w:rsidR="002A2424" w:rsidRDefault="002A2424" w:rsidP="00124F39">
      <w:pPr>
        <w:jc w:val="both"/>
        <w:rPr>
          <w:color w:val="0070C0"/>
        </w:rPr>
      </w:pPr>
    </w:p>
    <w:p w:rsidR="00A96BD7" w:rsidRDefault="002A2424" w:rsidP="00124F39">
      <w:pPr>
        <w:jc w:val="both"/>
        <w:rPr>
          <w:color w:val="0070C0"/>
        </w:rPr>
      </w:pPr>
      <w:r>
        <w:rPr>
          <w:color w:val="0070C0"/>
        </w:rPr>
        <w:t>I. Une interprétation dualiste</w:t>
      </w:r>
      <w:r w:rsidR="008624E2">
        <w:rPr>
          <w:color w:val="0070C0"/>
        </w:rPr>
        <w:t xml:space="preserve"> </w:t>
      </w:r>
      <w:r w:rsidR="00A96BD7">
        <w:rPr>
          <w:color w:val="0070C0"/>
        </w:rPr>
        <w:t>d</w:t>
      </w:r>
      <w:r w:rsidR="008624E2">
        <w:rPr>
          <w:color w:val="0070C0"/>
        </w:rPr>
        <w:t>u text</w:t>
      </w:r>
      <w:r w:rsidR="00A96BD7">
        <w:rPr>
          <w:color w:val="0070C0"/>
        </w:rPr>
        <w:t xml:space="preserve">e </w:t>
      </w:r>
      <w:r w:rsidR="008624E2">
        <w:rPr>
          <w:color w:val="0070C0"/>
        </w:rPr>
        <w:t xml:space="preserve">de </w:t>
      </w:r>
      <w:r w:rsidR="00A96BD7">
        <w:rPr>
          <w:color w:val="0070C0"/>
        </w:rPr>
        <w:t>la Constitution de 1958</w:t>
      </w:r>
    </w:p>
    <w:p w:rsidR="00A96BD7" w:rsidRDefault="00F431B9" w:rsidP="00124F39">
      <w:pPr>
        <w:jc w:val="both"/>
        <w:rPr>
          <w:color w:val="0070C0"/>
        </w:rPr>
      </w:pPr>
      <w:r>
        <w:rPr>
          <w:color w:val="0070C0"/>
        </w:rPr>
        <w:t>- Un pouvoir exécutif dual</w:t>
      </w:r>
    </w:p>
    <w:p w:rsidR="00F431B9" w:rsidRDefault="00F431B9" w:rsidP="00124F39">
      <w:pPr>
        <w:jc w:val="both"/>
        <w:rPr>
          <w:color w:val="0070C0"/>
        </w:rPr>
      </w:pPr>
      <w:r>
        <w:rPr>
          <w:color w:val="0070C0"/>
        </w:rPr>
        <w:t>- La dualité de l’exécutif n’exclut pas l’autonomie du chef de l’Etat</w:t>
      </w:r>
    </w:p>
    <w:p w:rsidR="00A96BD7" w:rsidRDefault="00A96BD7" w:rsidP="00124F39">
      <w:pPr>
        <w:jc w:val="both"/>
        <w:rPr>
          <w:color w:val="0070C0"/>
        </w:rPr>
      </w:pPr>
    </w:p>
    <w:p w:rsidR="00A96BD7" w:rsidRDefault="00A96BD7" w:rsidP="00124F39">
      <w:pPr>
        <w:jc w:val="both"/>
        <w:rPr>
          <w:color w:val="0070C0"/>
        </w:rPr>
      </w:pPr>
      <w:r>
        <w:rPr>
          <w:color w:val="0070C0"/>
        </w:rPr>
        <w:t xml:space="preserve">II. La réfutation </w:t>
      </w:r>
      <w:r w:rsidR="00E87882">
        <w:rPr>
          <w:color w:val="0070C0"/>
        </w:rPr>
        <w:t xml:space="preserve">implicite </w:t>
      </w:r>
      <w:r>
        <w:rPr>
          <w:color w:val="0070C0"/>
        </w:rPr>
        <w:t>d’un écart entre le texte constitutionnel et la pratique</w:t>
      </w:r>
    </w:p>
    <w:p w:rsidR="00A96BD7" w:rsidRDefault="00A96BD7" w:rsidP="00124F39">
      <w:pPr>
        <w:jc w:val="both"/>
        <w:rPr>
          <w:color w:val="0070C0"/>
        </w:rPr>
      </w:pPr>
      <w:r>
        <w:rPr>
          <w:color w:val="0070C0"/>
        </w:rPr>
        <w:t>- interprétation dynamique (systémique) du droit de la constitution</w:t>
      </w:r>
    </w:p>
    <w:p w:rsidR="00A96BD7" w:rsidRPr="007C20CB" w:rsidRDefault="00A96BD7" w:rsidP="00124F39">
      <w:pPr>
        <w:jc w:val="both"/>
        <w:rPr>
          <w:color w:val="0070C0"/>
        </w:rPr>
      </w:pPr>
      <w:r>
        <w:rPr>
          <w:color w:val="0070C0"/>
        </w:rPr>
        <w:t>- sublimée par une lecture « démocratique » que fait Capitant mais qui a été partiellement infirmée après le départ du général en 1969</w:t>
      </w:r>
    </w:p>
    <w:sectPr w:rsidR="00A96BD7" w:rsidRPr="007C20CB" w:rsidSect="00F9447B">
      <w:pgSz w:w="11906" w:h="16838"/>
      <w:pgMar w:top="1417" w:right="1417" w:bottom="1417" w:left="1417" w:header="708" w:footer="708" w:gutter="0"/>
      <w:cols w:space="708"/>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263CBA" w:rsidRDefault="00263CBA" w:rsidP="00545ACA">
      <w:r>
        <w:separator/>
      </w:r>
    </w:p>
  </w:endnote>
  <w:endnote w:type="continuationSeparator" w:id="1">
    <w:p w:rsidR="00263CBA" w:rsidRDefault="00263CBA" w:rsidP="00545A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altName w:val="Cambria"/>
    <w:charset w:val="00"/>
    <w:family w:val="swiss"/>
    <w:pitch w:val="variable"/>
    <w:sig w:usb0="E0002AFF" w:usb1="C000247B" w:usb2="00000009" w:usb3="00000000" w:csb0="000001FF"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263CBA" w:rsidRDefault="00263CBA" w:rsidP="00545ACA">
      <w:r>
        <w:separator/>
      </w:r>
    </w:p>
  </w:footnote>
  <w:footnote w:type="continuationSeparator" w:id="1">
    <w:p w:rsidR="00263CBA" w:rsidRDefault="00263CBA" w:rsidP="00545ACA">
      <w:r>
        <w:continuationSeparator/>
      </w:r>
    </w:p>
  </w:footnote>
  <w:footnote w:id="2">
    <w:p w:rsidR="00263CBA" w:rsidRPr="00545ACA" w:rsidRDefault="00263CBA">
      <w:pPr>
        <w:pStyle w:val="Notedebasdepage"/>
      </w:pPr>
      <w:r w:rsidRPr="00545ACA">
        <w:rPr>
          <w:rStyle w:val="Marquenotebasdepage"/>
        </w:rPr>
        <w:footnoteRef/>
      </w:r>
      <w:r w:rsidRPr="00545ACA">
        <w:t xml:space="preserve"> l'Ordonnance n°58-1100 du 17 novembre 1958 relative au fonctionnement des assemblées parlementaires</w:t>
      </w:r>
      <w: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TrackMoves/>
  <w:defaultTabStop w:val="708"/>
  <w:hyphenationZone w:val="425"/>
  <w:characterSpacingControl w:val="doNotCompress"/>
  <w:footnotePr>
    <w:footnote w:id="0"/>
    <w:footnote w:id="1"/>
  </w:footnotePr>
  <w:endnotePr>
    <w:endnote w:id="0"/>
    <w:endnote w:id="1"/>
  </w:endnotePr>
  <w:compat/>
  <w:rsids>
    <w:rsidRoot w:val="0008201D"/>
    <w:rsid w:val="00081BDA"/>
    <w:rsid w:val="0008201D"/>
    <w:rsid w:val="000C3401"/>
    <w:rsid w:val="00112305"/>
    <w:rsid w:val="00124F39"/>
    <w:rsid w:val="00231229"/>
    <w:rsid w:val="002634B8"/>
    <w:rsid w:val="00263CBA"/>
    <w:rsid w:val="002A2424"/>
    <w:rsid w:val="002D3EC1"/>
    <w:rsid w:val="003740A9"/>
    <w:rsid w:val="003F47B1"/>
    <w:rsid w:val="00431858"/>
    <w:rsid w:val="00545ACA"/>
    <w:rsid w:val="00564DE3"/>
    <w:rsid w:val="0065088F"/>
    <w:rsid w:val="006D5155"/>
    <w:rsid w:val="007C20CB"/>
    <w:rsid w:val="008624E2"/>
    <w:rsid w:val="00863525"/>
    <w:rsid w:val="00966D98"/>
    <w:rsid w:val="00A96BD7"/>
    <w:rsid w:val="00BE5CAA"/>
    <w:rsid w:val="00C056F6"/>
    <w:rsid w:val="00C31804"/>
    <w:rsid w:val="00C56095"/>
    <w:rsid w:val="00CC7E70"/>
    <w:rsid w:val="00D13766"/>
    <w:rsid w:val="00D27696"/>
    <w:rsid w:val="00D9274A"/>
    <w:rsid w:val="00DF3E88"/>
    <w:rsid w:val="00E371DA"/>
    <w:rsid w:val="00E87882"/>
    <w:rsid w:val="00EB4DCB"/>
    <w:rsid w:val="00F431B9"/>
    <w:rsid w:val="00F9447B"/>
  </w:rsids>
  <m:mathPr>
    <m:mathFont m:val="Wingdings 2"/>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01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Notedebasdepage">
    <w:name w:val="footnote text"/>
    <w:basedOn w:val="Normal"/>
    <w:link w:val="NotedebasdepageCar"/>
    <w:uiPriority w:val="99"/>
    <w:semiHidden/>
    <w:unhideWhenUsed/>
    <w:rsid w:val="00545ACA"/>
    <w:rPr>
      <w:sz w:val="20"/>
      <w:szCs w:val="20"/>
    </w:rPr>
  </w:style>
  <w:style w:type="character" w:customStyle="1" w:styleId="NotedebasdepageCar">
    <w:name w:val="Note de bas de page Car"/>
    <w:basedOn w:val="Policepardfaut"/>
    <w:link w:val="Notedebasdepage"/>
    <w:uiPriority w:val="99"/>
    <w:semiHidden/>
    <w:rsid w:val="00545ACA"/>
    <w:rPr>
      <w:rFonts w:ascii="Times New Roman" w:eastAsia="Times New Roman" w:hAnsi="Times New Roman" w:cs="Times New Roman"/>
      <w:sz w:val="20"/>
      <w:szCs w:val="20"/>
      <w:lang w:eastAsia="fr-FR"/>
    </w:rPr>
  </w:style>
  <w:style w:type="character" w:styleId="Marquenotebasdepage">
    <w:name w:val="footnote reference"/>
    <w:basedOn w:val="Policepardfaut"/>
    <w:uiPriority w:val="99"/>
    <w:semiHidden/>
    <w:unhideWhenUsed/>
    <w:rsid w:val="00545ACA"/>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F9A8B-E209-4C11-B4AF-060C3B546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3124</Words>
  <Characters>17807</Characters>
  <Application>Microsoft Word 12.1.0</Application>
  <DocSecurity>0</DocSecurity>
  <Lines>148</Lines>
  <Paragraphs>35</Paragraphs>
  <ScaleCrop>false</ScaleCrop>
  <HeadingPairs>
    <vt:vector size="2" baseType="variant">
      <vt:variant>
        <vt:lpstr>Titre</vt:lpstr>
      </vt:variant>
      <vt:variant>
        <vt:i4>1</vt:i4>
      </vt:variant>
    </vt:vector>
  </HeadingPairs>
  <TitlesOfParts>
    <vt:vector size="1" baseType="lpstr">
      <vt:lpstr/>
    </vt:vector>
  </TitlesOfParts>
  <Company>Université Panthéon-Assas</Company>
  <LinksUpToDate>false</LinksUpToDate>
  <CharactersWithSpaces>21868</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UP2</dc:creator>
  <cp:keywords/>
  <dc:description/>
  <cp:lastModifiedBy>Armel Le Divellec</cp:lastModifiedBy>
  <cp:revision>2</cp:revision>
  <dcterms:created xsi:type="dcterms:W3CDTF">2024-04-29T21:56:00Z</dcterms:created>
  <dcterms:modified xsi:type="dcterms:W3CDTF">2024-04-29T21:56:00Z</dcterms:modified>
</cp:coreProperties>
</file>